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8D472" w14:textId="77777777" w:rsidR="00D721EF" w:rsidRPr="00D721EF" w:rsidRDefault="00D721EF" w:rsidP="00D721EF">
      <w:pPr>
        <w:widowControl w:val="0"/>
        <w:autoSpaceDE w:val="0"/>
        <w:autoSpaceDN w:val="0"/>
        <w:adjustRightInd w:val="0"/>
        <w:spacing w:after="240"/>
        <w:rPr>
          <w:rFonts w:cs="Times"/>
        </w:rPr>
      </w:pP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sidRPr="00D721EF">
        <w:rPr>
          <w:rFonts w:cs="Helvetica"/>
        </w:rPr>
        <w:t>File: ADC</w:t>
      </w:r>
    </w:p>
    <w:p w14:paraId="7A1AFAF8" w14:textId="77777777" w:rsidR="00D721EF" w:rsidRPr="00D721EF" w:rsidRDefault="00D721EF" w:rsidP="00D721EF">
      <w:pPr>
        <w:widowControl w:val="0"/>
        <w:autoSpaceDE w:val="0"/>
        <w:autoSpaceDN w:val="0"/>
        <w:adjustRightInd w:val="0"/>
        <w:rPr>
          <w:rFonts w:cs="Times"/>
        </w:rPr>
      </w:pPr>
      <w:r w:rsidRPr="00D721EF">
        <w:rPr>
          <w:rFonts w:cs="Times"/>
          <w:noProof/>
        </w:rPr>
        <w:drawing>
          <wp:inline distT="0" distB="0" distL="0" distR="0" wp14:anchorId="6F8EA4C9" wp14:editId="4E54A06A">
            <wp:extent cx="11874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 cy="8255"/>
                    </a:xfrm>
                    <a:prstGeom prst="rect">
                      <a:avLst/>
                    </a:prstGeom>
                    <a:noFill/>
                    <a:ln>
                      <a:noFill/>
                    </a:ln>
                  </pic:spPr>
                </pic:pic>
              </a:graphicData>
            </a:graphic>
          </wp:inline>
        </w:drawing>
      </w:r>
    </w:p>
    <w:p w14:paraId="781AE8F6" w14:textId="77777777" w:rsidR="00D721EF" w:rsidRPr="00D721EF" w:rsidRDefault="00D721EF" w:rsidP="00D721EF">
      <w:pPr>
        <w:widowControl w:val="0"/>
        <w:autoSpaceDE w:val="0"/>
        <w:autoSpaceDN w:val="0"/>
        <w:adjustRightInd w:val="0"/>
        <w:rPr>
          <w:rFonts w:cs="Times"/>
        </w:rPr>
      </w:pPr>
      <w:r w:rsidRPr="00D721EF">
        <w:rPr>
          <w:rFonts w:cs="Times"/>
          <w:noProof/>
        </w:rPr>
        <w:drawing>
          <wp:inline distT="0" distB="0" distL="0" distR="0" wp14:anchorId="1F9AE3D8" wp14:editId="14238713">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B6822B9" w14:textId="77777777" w:rsidR="00D721EF" w:rsidRPr="00D721EF" w:rsidRDefault="00D721EF" w:rsidP="00D4543D">
      <w:pPr>
        <w:widowControl w:val="0"/>
        <w:autoSpaceDE w:val="0"/>
        <w:autoSpaceDN w:val="0"/>
        <w:adjustRightInd w:val="0"/>
        <w:spacing w:after="240"/>
        <w:jc w:val="center"/>
        <w:rPr>
          <w:rFonts w:cs="Times"/>
        </w:rPr>
      </w:pPr>
      <w:r w:rsidRPr="00D721EF">
        <w:rPr>
          <w:rFonts w:cs="Helvetica"/>
          <w:b/>
          <w:bCs/>
        </w:rPr>
        <w:t>Tobacco-Free BOCES</w:t>
      </w:r>
    </w:p>
    <w:p w14:paraId="2508E8B4" w14:textId="77777777" w:rsidR="00D721EF" w:rsidRPr="00D721EF" w:rsidRDefault="00D721EF" w:rsidP="00D721EF">
      <w:pPr>
        <w:widowControl w:val="0"/>
        <w:autoSpaceDE w:val="0"/>
        <w:autoSpaceDN w:val="0"/>
        <w:adjustRightInd w:val="0"/>
        <w:spacing w:after="240"/>
        <w:rPr>
          <w:rFonts w:cs="Times"/>
        </w:rPr>
      </w:pPr>
      <w:r w:rsidRPr="00D721EF">
        <w:rPr>
          <w:rFonts w:cs="Helvetica"/>
        </w:rPr>
        <w:t xml:space="preserve">To promote the general health, welfare and </w:t>
      </w:r>
      <w:proofErr w:type="gramStart"/>
      <w:r w:rsidRPr="00D721EF">
        <w:rPr>
          <w:rFonts w:cs="Helvetica"/>
        </w:rPr>
        <w:t>well-being</w:t>
      </w:r>
      <w:proofErr w:type="gramEnd"/>
      <w:r w:rsidRPr="00D721EF">
        <w:rPr>
          <w:rFonts w:cs="Helvetica"/>
        </w:rPr>
        <w:t xml:space="preserve"> of staff, smoking, chewing or any other use of any tobacco product by staff, </w:t>
      </w:r>
      <w:r>
        <w:rPr>
          <w:rFonts w:cs="Helvetica"/>
        </w:rPr>
        <w:t xml:space="preserve">and members of the public is </w:t>
      </w:r>
      <w:r w:rsidRPr="00D721EF">
        <w:rPr>
          <w:rFonts w:cs="Helvetica"/>
        </w:rPr>
        <w:t>prohibited on all BOCES property.</w:t>
      </w:r>
    </w:p>
    <w:p w14:paraId="61D3FE88" w14:textId="77777777" w:rsidR="00D721EF" w:rsidRPr="00D721EF" w:rsidRDefault="00D721EF" w:rsidP="00D721EF">
      <w:pPr>
        <w:widowControl w:val="0"/>
        <w:autoSpaceDE w:val="0"/>
        <w:autoSpaceDN w:val="0"/>
        <w:adjustRightInd w:val="0"/>
        <w:spacing w:after="240"/>
        <w:rPr>
          <w:rFonts w:cs="Times"/>
        </w:rPr>
      </w:pPr>
      <w:r w:rsidRPr="00D721EF">
        <w:rPr>
          <w:rFonts w:cs="Helvetica"/>
        </w:rPr>
        <w:t>For purposes of this policy, the following definitions apply:</w:t>
      </w:r>
    </w:p>
    <w:p w14:paraId="1CD889A4" w14:textId="77777777" w:rsidR="00D721EF" w:rsidRPr="00D721EF" w:rsidRDefault="00D721EF" w:rsidP="00D721EF">
      <w:pPr>
        <w:widowControl w:val="0"/>
        <w:autoSpaceDE w:val="0"/>
        <w:autoSpaceDN w:val="0"/>
        <w:adjustRightInd w:val="0"/>
        <w:spacing w:after="240"/>
        <w:rPr>
          <w:rFonts w:cs="Times"/>
        </w:rPr>
      </w:pPr>
      <w:r w:rsidRPr="00D721EF">
        <w:rPr>
          <w:rFonts w:cs="Helvetica"/>
        </w:rPr>
        <w:t>1. “BOCES property” means all property owned, leased, rented or otherwise used or contracted for by the BOCES including but not limited to the following:</w:t>
      </w:r>
    </w:p>
    <w:p w14:paraId="3A251113" w14:textId="77777777" w:rsidR="00D721EF" w:rsidRPr="00D721EF" w:rsidRDefault="00D721EF" w:rsidP="00D721EF">
      <w:pPr>
        <w:pStyle w:val="ListParagraph"/>
        <w:widowControl w:val="0"/>
        <w:numPr>
          <w:ilvl w:val="0"/>
          <w:numId w:val="5"/>
        </w:numPr>
        <w:tabs>
          <w:tab w:val="left" w:pos="220"/>
          <w:tab w:val="left" w:pos="720"/>
        </w:tabs>
        <w:autoSpaceDE w:val="0"/>
        <w:autoSpaceDN w:val="0"/>
        <w:adjustRightInd w:val="0"/>
        <w:spacing w:after="320"/>
        <w:rPr>
          <w:rFonts w:cs="Helvetica"/>
        </w:rPr>
      </w:pPr>
      <w:r w:rsidRPr="00D721EF">
        <w:rPr>
          <w:rFonts w:cs="Helvetica"/>
        </w:rPr>
        <w:t xml:space="preserve">All indoor facilities and interior portions of any BOCES building or other structure. The term does not apply to buildings used primarily as residences, i.e., </w:t>
      </w:r>
      <w:proofErr w:type="spellStart"/>
      <w:r w:rsidRPr="00D721EF">
        <w:rPr>
          <w:rFonts w:cs="Helvetica"/>
        </w:rPr>
        <w:t>teacherages</w:t>
      </w:r>
      <w:proofErr w:type="spellEnd"/>
      <w:r w:rsidRPr="00D721EF">
        <w:rPr>
          <w:rFonts w:cs="Helvetica"/>
        </w:rPr>
        <w:t xml:space="preserve">. </w:t>
      </w:r>
    </w:p>
    <w:p w14:paraId="3B0CDE18" w14:textId="77777777" w:rsidR="00D721EF" w:rsidRPr="00D721EF" w:rsidRDefault="00D721EF" w:rsidP="00D721EF">
      <w:pPr>
        <w:pStyle w:val="ListParagraph"/>
        <w:widowControl w:val="0"/>
        <w:numPr>
          <w:ilvl w:val="0"/>
          <w:numId w:val="5"/>
        </w:numPr>
        <w:tabs>
          <w:tab w:val="left" w:pos="220"/>
          <w:tab w:val="left" w:pos="720"/>
        </w:tabs>
        <w:autoSpaceDE w:val="0"/>
        <w:autoSpaceDN w:val="0"/>
        <w:adjustRightInd w:val="0"/>
        <w:spacing w:after="320"/>
        <w:rPr>
          <w:rFonts w:cs="Helvetica"/>
        </w:rPr>
      </w:pPr>
      <w:r w:rsidRPr="00D721EF">
        <w:rPr>
          <w:rFonts w:cs="Helvetica"/>
        </w:rPr>
        <w:t>All BOCES grounds over which the BOCES exercises control including areas surrounding any building</w:t>
      </w:r>
      <w:r w:rsidRPr="00D721EF">
        <w:rPr>
          <w:rFonts w:cs="Helvetica"/>
          <w:i/>
          <w:iCs/>
        </w:rPr>
        <w:t xml:space="preserve">, </w:t>
      </w:r>
      <w:r w:rsidRPr="00D721EF">
        <w:rPr>
          <w:rFonts w:cs="Helvetica"/>
        </w:rPr>
        <w:t xml:space="preserve">and parking areas. </w:t>
      </w:r>
    </w:p>
    <w:p w14:paraId="77B1108A" w14:textId="77777777" w:rsidR="00D721EF" w:rsidRPr="00D721EF" w:rsidRDefault="00D721EF" w:rsidP="00D721EF">
      <w:pPr>
        <w:pStyle w:val="ListParagraph"/>
        <w:widowControl w:val="0"/>
        <w:numPr>
          <w:ilvl w:val="0"/>
          <w:numId w:val="5"/>
        </w:numPr>
        <w:tabs>
          <w:tab w:val="left" w:pos="220"/>
          <w:tab w:val="left" w:pos="720"/>
        </w:tabs>
        <w:autoSpaceDE w:val="0"/>
        <w:autoSpaceDN w:val="0"/>
        <w:adjustRightInd w:val="0"/>
        <w:spacing w:after="320"/>
        <w:rPr>
          <w:rFonts w:cs="Helvetica"/>
        </w:rPr>
      </w:pPr>
      <w:r w:rsidRPr="00D721EF">
        <w:rPr>
          <w:rFonts w:cs="Helvetica"/>
        </w:rPr>
        <w:t xml:space="preserve">All vehicles used by the BOCES for transporting staff, visitors or other persons. </w:t>
      </w:r>
    </w:p>
    <w:p w14:paraId="5ED46575" w14:textId="77777777" w:rsidR="00D721EF" w:rsidRPr="00D721EF" w:rsidRDefault="00D721EF" w:rsidP="00D721EF">
      <w:pPr>
        <w:pStyle w:val="ListParagraph"/>
        <w:widowControl w:val="0"/>
        <w:numPr>
          <w:ilvl w:val="0"/>
          <w:numId w:val="5"/>
        </w:numPr>
        <w:tabs>
          <w:tab w:val="left" w:pos="220"/>
          <w:tab w:val="left" w:pos="720"/>
        </w:tabs>
        <w:autoSpaceDE w:val="0"/>
        <w:autoSpaceDN w:val="0"/>
        <w:adjustRightInd w:val="0"/>
        <w:spacing w:after="320"/>
        <w:rPr>
          <w:rFonts w:cs="Helvetica"/>
        </w:rPr>
      </w:pPr>
      <w:r w:rsidRPr="00D721EF">
        <w:rPr>
          <w:rFonts w:cs="Helvetica"/>
        </w:rPr>
        <w:t xml:space="preserve">At a BOCES sanctioned activity or event. </w:t>
      </w:r>
    </w:p>
    <w:p w14:paraId="154525EE" w14:textId="77777777" w:rsidR="00D721EF" w:rsidRPr="00D721EF" w:rsidRDefault="00D721EF" w:rsidP="00D721EF">
      <w:pPr>
        <w:widowControl w:val="0"/>
        <w:tabs>
          <w:tab w:val="left" w:pos="220"/>
          <w:tab w:val="left" w:pos="720"/>
        </w:tabs>
        <w:autoSpaceDE w:val="0"/>
        <w:autoSpaceDN w:val="0"/>
        <w:adjustRightInd w:val="0"/>
        <w:spacing w:after="320"/>
        <w:rPr>
          <w:rFonts w:cs="Helvetica"/>
        </w:rPr>
      </w:pPr>
      <w:r>
        <w:rPr>
          <w:rFonts w:cs="Helvetica"/>
        </w:rPr>
        <w:t xml:space="preserve">2. </w:t>
      </w:r>
      <w:r w:rsidRPr="00D721EF">
        <w:rPr>
          <w:rFonts w:cs="Helvetica"/>
        </w:rPr>
        <w:t>“Tobacco product” means:</w:t>
      </w:r>
    </w:p>
    <w:p w14:paraId="18CCC892" w14:textId="77777777" w:rsidR="00D721EF" w:rsidRPr="00D721EF" w:rsidRDefault="00D721EF" w:rsidP="00D721EF">
      <w:pPr>
        <w:pStyle w:val="ListParagraph"/>
        <w:widowControl w:val="0"/>
        <w:numPr>
          <w:ilvl w:val="0"/>
          <w:numId w:val="6"/>
        </w:numPr>
        <w:tabs>
          <w:tab w:val="left" w:pos="220"/>
          <w:tab w:val="left" w:pos="720"/>
        </w:tabs>
        <w:autoSpaceDE w:val="0"/>
        <w:autoSpaceDN w:val="0"/>
        <w:adjustRightInd w:val="0"/>
        <w:spacing w:after="320"/>
        <w:rPr>
          <w:rFonts w:cs="Helvetica"/>
        </w:rPr>
      </w:pPr>
      <w:r w:rsidRPr="00D721EF">
        <w:rPr>
          <w:rFonts w:cs="Helvetica"/>
        </w:rPr>
        <w:t xml:space="preserve">Any product that contains nicotine or tobacco or is derived from tobacco and is intended to be ingested or inhaled by or applied to the skin of an individual, including but not limited to cigarettes, cigars, pipe tobacco, snuff and chewing tobacco; and </w:t>
      </w:r>
    </w:p>
    <w:p w14:paraId="033749DB" w14:textId="77777777" w:rsidR="00D721EF" w:rsidRPr="00D721EF" w:rsidRDefault="00D721EF" w:rsidP="00D721EF">
      <w:pPr>
        <w:pStyle w:val="ListParagraph"/>
        <w:widowControl w:val="0"/>
        <w:numPr>
          <w:ilvl w:val="0"/>
          <w:numId w:val="6"/>
        </w:numPr>
        <w:tabs>
          <w:tab w:val="left" w:pos="220"/>
          <w:tab w:val="left" w:pos="720"/>
        </w:tabs>
        <w:autoSpaceDE w:val="0"/>
        <w:autoSpaceDN w:val="0"/>
        <w:adjustRightInd w:val="0"/>
        <w:spacing w:after="320"/>
        <w:rPr>
          <w:rFonts w:cs="Helvetica"/>
        </w:rPr>
      </w:pPr>
      <w:r w:rsidRPr="00D721EF">
        <w:rPr>
          <w:rFonts w:cs="Helvetica"/>
        </w:rPr>
        <w:t xml:space="preserve">Any electronic device that can be used to deliver nicotine to the person inhaling from the device, including but not limited to an electronic cigarette, cigar, cigarillo or pipe. </w:t>
      </w:r>
    </w:p>
    <w:p w14:paraId="7B190E9A" w14:textId="77777777" w:rsidR="00D721EF" w:rsidRPr="00D721EF" w:rsidRDefault="00D721EF" w:rsidP="00D721EF">
      <w:pPr>
        <w:pStyle w:val="ListParagraph"/>
        <w:widowControl w:val="0"/>
        <w:numPr>
          <w:ilvl w:val="0"/>
          <w:numId w:val="6"/>
        </w:numPr>
        <w:tabs>
          <w:tab w:val="left" w:pos="220"/>
          <w:tab w:val="left" w:pos="720"/>
        </w:tabs>
        <w:autoSpaceDE w:val="0"/>
        <w:autoSpaceDN w:val="0"/>
        <w:adjustRightInd w:val="0"/>
        <w:spacing w:after="320"/>
        <w:rPr>
          <w:rFonts w:cs="Helvetica"/>
        </w:rPr>
      </w:pPr>
      <w:r w:rsidRPr="00D721EF">
        <w:rPr>
          <w:rFonts w:cs="Helvetica"/>
        </w:rPr>
        <w:t xml:space="preserve">“Tobacco product” does not include any product that has been approved by the appropriate federal agency as a tobacco use cessation product. </w:t>
      </w:r>
    </w:p>
    <w:p w14:paraId="0B52250F" w14:textId="77777777" w:rsidR="00D721EF" w:rsidRPr="00D721EF" w:rsidRDefault="00D721EF" w:rsidP="00D721EF">
      <w:pPr>
        <w:widowControl w:val="0"/>
        <w:autoSpaceDE w:val="0"/>
        <w:autoSpaceDN w:val="0"/>
        <w:adjustRightInd w:val="0"/>
        <w:spacing w:after="240"/>
        <w:rPr>
          <w:rFonts w:cs="Times"/>
        </w:rPr>
      </w:pPr>
      <w:proofErr w:type="gramStart"/>
      <w:r w:rsidRPr="00D721EF">
        <w:rPr>
          <w:rFonts w:cs="Helvetica"/>
        </w:rPr>
        <w:t>3. “Use” means lighting, chewing, smoking, ingesting or application of any tobacco product.</w:t>
      </w:r>
      <w:proofErr w:type="gramEnd"/>
    </w:p>
    <w:p w14:paraId="69646545" w14:textId="77777777" w:rsidR="00D721EF" w:rsidRPr="00D721EF" w:rsidRDefault="00D721EF" w:rsidP="00D721EF">
      <w:pPr>
        <w:widowControl w:val="0"/>
        <w:autoSpaceDE w:val="0"/>
        <w:autoSpaceDN w:val="0"/>
        <w:adjustRightInd w:val="0"/>
        <w:spacing w:after="240"/>
        <w:rPr>
          <w:rFonts w:cs="Times"/>
        </w:rPr>
      </w:pPr>
      <w:r w:rsidRPr="00D721EF">
        <w:rPr>
          <w:rFonts w:cs="Helvetica"/>
        </w:rPr>
        <w:t xml:space="preserve">Signs will be posted in prominent places on all BOCES property to notify the public that smoking or other use of tobacco products is prohibited in accordance with BOCES policy. This policy will be published in all </w:t>
      </w:r>
      <w:proofErr w:type="gramStart"/>
      <w:r w:rsidRPr="00D721EF">
        <w:rPr>
          <w:rFonts w:cs="Helvetica"/>
        </w:rPr>
        <w:t xml:space="preserve">employee </w:t>
      </w:r>
      <w:r w:rsidRPr="00D721EF">
        <w:rPr>
          <w:rFonts w:cs="Helvetica"/>
          <w:i/>
          <w:iCs/>
        </w:rPr>
        <w:t xml:space="preserve"> </w:t>
      </w:r>
      <w:r w:rsidRPr="00D721EF">
        <w:rPr>
          <w:rFonts w:cs="Helvetica"/>
        </w:rPr>
        <w:t>handbooks</w:t>
      </w:r>
      <w:proofErr w:type="gramEnd"/>
      <w:r w:rsidRPr="00D721EF">
        <w:rPr>
          <w:rFonts w:cs="Helvetica"/>
        </w:rPr>
        <w:t>, posted on bulletin boards and announced in staff meetings.</w:t>
      </w:r>
    </w:p>
    <w:p w14:paraId="33BAF18F" w14:textId="77777777" w:rsidR="00CE316A" w:rsidRDefault="00D721EF" w:rsidP="00D721EF">
      <w:pPr>
        <w:widowControl w:val="0"/>
        <w:autoSpaceDE w:val="0"/>
        <w:autoSpaceDN w:val="0"/>
        <w:adjustRightInd w:val="0"/>
        <w:spacing w:after="240"/>
        <w:rPr>
          <w:rFonts w:cs="Times"/>
        </w:rPr>
      </w:pPr>
      <w:r w:rsidRPr="00D721EF">
        <w:rPr>
          <w:rFonts w:cs="Helvetica"/>
        </w:rPr>
        <w:t xml:space="preserve">Any member of the general public considered by the executive director or designee to be in violation of this policy will be instructed to leave BOCES property. Employees found to be in violation of this policy will be subject to appropriate </w:t>
      </w:r>
      <w:r w:rsidRPr="00D721EF">
        <w:rPr>
          <w:rFonts w:cs="Helvetica"/>
        </w:rPr>
        <w:lastRenderedPageBreak/>
        <w:t>disciplinary action.</w:t>
      </w:r>
    </w:p>
    <w:p w14:paraId="23336CFD" w14:textId="25D1D6E3" w:rsidR="00D721EF" w:rsidRPr="00CE316A" w:rsidRDefault="006301A9" w:rsidP="00D721EF">
      <w:pPr>
        <w:widowControl w:val="0"/>
        <w:autoSpaceDE w:val="0"/>
        <w:autoSpaceDN w:val="0"/>
        <w:adjustRightInd w:val="0"/>
        <w:spacing w:after="240"/>
        <w:rPr>
          <w:rFonts w:cs="Times"/>
        </w:rPr>
      </w:pPr>
      <w:bookmarkStart w:id="0" w:name="_GoBack"/>
      <w:bookmarkEnd w:id="0"/>
      <w:r>
        <w:rPr>
          <w:rFonts w:cs="Helvetica"/>
        </w:rPr>
        <w:t>Adopted: November 19, 2014</w:t>
      </w:r>
      <w:r w:rsidR="00D721EF" w:rsidRPr="00D721EF">
        <w:rPr>
          <w:rFonts w:cs="Helvetica"/>
        </w:rPr>
        <w:t xml:space="preserve"> </w:t>
      </w:r>
    </w:p>
    <w:p w14:paraId="06E8FAE2" w14:textId="77777777" w:rsidR="00D721EF" w:rsidRDefault="00D721EF" w:rsidP="00D721EF">
      <w:pPr>
        <w:widowControl w:val="0"/>
        <w:autoSpaceDE w:val="0"/>
        <w:autoSpaceDN w:val="0"/>
        <w:adjustRightInd w:val="0"/>
        <w:ind w:left="-90"/>
        <w:rPr>
          <w:rFonts w:cs="Helvetica"/>
          <w:i/>
          <w:iCs/>
        </w:rPr>
      </w:pPr>
      <w:r w:rsidRPr="00D721EF">
        <w:rPr>
          <w:rFonts w:cs="Helvetica"/>
        </w:rPr>
        <w:t>LEGAL REFS</w:t>
      </w:r>
      <w:proofErr w:type="gramStart"/>
      <w:r w:rsidRPr="00D721EF">
        <w:rPr>
          <w:rFonts w:cs="Helvetica"/>
        </w:rPr>
        <w:t>.:</w:t>
      </w:r>
      <w:proofErr w:type="gramEnd"/>
      <w:r>
        <w:rPr>
          <w:rFonts w:cs="Times"/>
        </w:rPr>
        <w:t xml:space="preserve"> </w:t>
      </w:r>
      <w:r w:rsidRPr="00D721EF">
        <w:rPr>
          <w:rFonts w:cs="Helvetica"/>
          <w:i/>
          <w:iCs/>
        </w:rPr>
        <w:t xml:space="preserve">[20 U.S.C. 7181 et seq. (Pro-Children Act of 2001 contained in No Child </w:t>
      </w:r>
    </w:p>
    <w:p w14:paraId="32ED62D4" w14:textId="77777777" w:rsidR="00D721EF" w:rsidRDefault="00D721EF" w:rsidP="00D721EF">
      <w:pPr>
        <w:widowControl w:val="0"/>
        <w:autoSpaceDE w:val="0"/>
        <w:autoSpaceDN w:val="0"/>
        <w:adjustRightInd w:val="0"/>
        <w:ind w:left="1350"/>
        <w:rPr>
          <w:rFonts w:cs="Times"/>
        </w:rPr>
      </w:pPr>
      <w:r w:rsidRPr="00D721EF">
        <w:rPr>
          <w:rFonts w:cs="Helvetica"/>
          <w:i/>
          <w:iCs/>
        </w:rPr>
        <w:t>Left Behind Act of 2001 prohibits smoking in any indoor facility used to provide educational services to children)]</w:t>
      </w:r>
    </w:p>
    <w:p w14:paraId="57F537BB" w14:textId="77777777" w:rsidR="00D721EF" w:rsidRPr="00D721EF" w:rsidRDefault="00D721EF" w:rsidP="00D721EF">
      <w:pPr>
        <w:widowControl w:val="0"/>
        <w:autoSpaceDE w:val="0"/>
        <w:autoSpaceDN w:val="0"/>
        <w:adjustRightInd w:val="0"/>
        <w:ind w:left="1350"/>
        <w:rPr>
          <w:rFonts w:cs="Times"/>
        </w:rPr>
      </w:pPr>
      <w:r w:rsidRPr="00D721EF">
        <w:rPr>
          <w:rFonts w:cs="Helvetica"/>
        </w:rPr>
        <w:t xml:space="preserve">C.R.S. 18-13-121 </w:t>
      </w:r>
      <w:r w:rsidRPr="00D721EF">
        <w:rPr>
          <w:rFonts w:cs="Helvetica"/>
          <w:i/>
          <w:iCs/>
        </w:rPr>
        <w:t>(furnishing tobacco products to minors)</w:t>
      </w:r>
    </w:p>
    <w:p w14:paraId="7567DD2B" w14:textId="77777777" w:rsidR="00D721EF" w:rsidRPr="00D721EF" w:rsidRDefault="00D721EF" w:rsidP="00D721EF">
      <w:pPr>
        <w:widowControl w:val="0"/>
        <w:autoSpaceDE w:val="0"/>
        <w:autoSpaceDN w:val="0"/>
        <w:adjustRightInd w:val="0"/>
        <w:ind w:left="1350"/>
        <w:rPr>
          <w:rFonts w:cs="Times"/>
        </w:rPr>
      </w:pPr>
      <w:r w:rsidRPr="00D721EF">
        <w:rPr>
          <w:rFonts w:cs="Helvetica"/>
          <w:i/>
          <w:iCs/>
        </w:rPr>
        <w:t>[C.R.S. 22-32-109 (1)(bb) (policy required prohibiting use of tobacco products on school grounds)] [C.R.S. 22-32-109.1 (2)(a)(I)(H)(policy required as part of safe schools plan)]</w:t>
      </w:r>
    </w:p>
    <w:p w14:paraId="2C9CAB77" w14:textId="77777777" w:rsidR="00D721EF" w:rsidRPr="00D721EF" w:rsidRDefault="00D721EF" w:rsidP="00D721EF">
      <w:pPr>
        <w:widowControl w:val="0"/>
        <w:autoSpaceDE w:val="0"/>
        <w:autoSpaceDN w:val="0"/>
        <w:adjustRightInd w:val="0"/>
        <w:ind w:left="1350"/>
        <w:rPr>
          <w:rFonts w:cs="Times"/>
        </w:rPr>
      </w:pPr>
      <w:r w:rsidRPr="00D721EF">
        <w:rPr>
          <w:rFonts w:cs="Helvetica"/>
          <w:i/>
          <w:iCs/>
        </w:rPr>
        <w:t>[C.R.S. 25-14-103.5 (tobacco use prohibited on school property)]</w:t>
      </w:r>
    </w:p>
    <w:p w14:paraId="116ABCFD" w14:textId="77777777" w:rsidR="00D721EF" w:rsidRPr="00D721EF" w:rsidRDefault="00D721EF" w:rsidP="00D721EF">
      <w:pPr>
        <w:widowControl w:val="0"/>
        <w:autoSpaceDE w:val="0"/>
        <w:autoSpaceDN w:val="0"/>
        <w:adjustRightInd w:val="0"/>
        <w:rPr>
          <w:rFonts w:cs="Times"/>
        </w:rPr>
      </w:pPr>
      <w:r w:rsidRPr="00D721EF">
        <w:rPr>
          <w:rFonts w:cs="Times"/>
          <w:noProof/>
        </w:rPr>
        <w:drawing>
          <wp:inline distT="0" distB="0" distL="0" distR="0" wp14:anchorId="3201A0D2" wp14:editId="0383659E">
            <wp:extent cx="118745" cy="8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 cy="8255"/>
                    </a:xfrm>
                    <a:prstGeom prst="rect">
                      <a:avLst/>
                    </a:prstGeom>
                    <a:noFill/>
                    <a:ln>
                      <a:noFill/>
                    </a:ln>
                  </pic:spPr>
                </pic:pic>
              </a:graphicData>
            </a:graphic>
          </wp:inline>
        </w:drawing>
      </w:r>
      <w:r>
        <w:rPr>
          <w:rFonts w:cs="Times"/>
        </w:rPr>
        <w:tab/>
      </w:r>
      <w:r>
        <w:rPr>
          <w:rFonts w:cs="Times"/>
        </w:rPr>
        <w:tab/>
      </w:r>
      <w:r w:rsidRPr="00D721EF">
        <w:rPr>
          <w:rFonts w:cs="Helvetica"/>
        </w:rPr>
        <w:t xml:space="preserve">C.R.S. 25-14-301 </w:t>
      </w:r>
      <w:r w:rsidRPr="00D721EF">
        <w:rPr>
          <w:rFonts w:cs="Helvetica"/>
          <w:i/>
          <w:iCs/>
        </w:rPr>
        <w:t xml:space="preserve">(Teen Tobacco Use Prevention Act) </w:t>
      </w:r>
      <w:r w:rsidRPr="00D721EF">
        <w:rPr>
          <w:rFonts w:cs="Helvetica"/>
        </w:rPr>
        <w:t xml:space="preserve">6 CCR 1010-6, </w:t>
      </w:r>
    </w:p>
    <w:p w14:paraId="46E0F7B2" w14:textId="77777777" w:rsidR="00D721EF" w:rsidRPr="00D721EF" w:rsidRDefault="00D721EF" w:rsidP="00D721EF">
      <w:pPr>
        <w:widowControl w:val="0"/>
        <w:autoSpaceDE w:val="0"/>
        <w:autoSpaceDN w:val="0"/>
        <w:adjustRightInd w:val="0"/>
        <w:rPr>
          <w:rFonts w:cs="Times"/>
        </w:rPr>
      </w:pPr>
      <w:r>
        <w:rPr>
          <w:rFonts w:cs="Helvetica"/>
        </w:rPr>
        <w:tab/>
      </w:r>
      <w:r>
        <w:rPr>
          <w:rFonts w:cs="Helvetica"/>
        </w:rPr>
        <w:tab/>
      </w:r>
      <w:r w:rsidRPr="00D721EF">
        <w:rPr>
          <w:rFonts w:cs="Helvetica"/>
        </w:rPr>
        <w:t>Rule 5-306</w:t>
      </w:r>
    </w:p>
    <w:p w14:paraId="3F8B53F0" w14:textId="77777777" w:rsidR="00D721EF" w:rsidRDefault="00D721EF" w:rsidP="00D721EF">
      <w:pPr>
        <w:widowControl w:val="0"/>
        <w:autoSpaceDE w:val="0"/>
        <w:autoSpaceDN w:val="0"/>
        <w:adjustRightInd w:val="0"/>
        <w:rPr>
          <w:rFonts w:cs="Helvetica"/>
        </w:rPr>
      </w:pPr>
    </w:p>
    <w:p w14:paraId="5F1FE3B8" w14:textId="77777777" w:rsidR="00D721EF" w:rsidRDefault="00D721EF" w:rsidP="00D721EF">
      <w:pPr>
        <w:widowControl w:val="0"/>
        <w:autoSpaceDE w:val="0"/>
        <w:autoSpaceDN w:val="0"/>
        <w:adjustRightInd w:val="0"/>
        <w:rPr>
          <w:rFonts w:cs="Helvetica"/>
          <w:i/>
          <w:iCs/>
        </w:rPr>
      </w:pPr>
      <w:r w:rsidRPr="00D721EF">
        <w:rPr>
          <w:rFonts w:cs="Helvetica"/>
        </w:rPr>
        <w:t xml:space="preserve">CROSS REFS.: </w:t>
      </w:r>
      <w:r w:rsidRPr="00D721EF">
        <w:rPr>
          <w:rFonts w:cs="Helvetica"/>
          <w:i/>
          <w:iCs/>
        </w:rPr>
        <w:t xml:space="preserve">[IHAMA, Teaching about Drugs, Alcohol and Tobacco] </w:t>
      </w:r>
    </w:p>
    <w:p w14:paraId="656FF943" w14:textId="77777777" w:rsidR="00D721EF" w:rsidRPr="00D721EF" w:rsidRDefault="00D721EF" w:rsidP="00D721EF">
      <w:pPr>
        <w:widowControl w:val="0"/>
        <w:autoSpaceDE w:val="0"/>
        <w:autoSpaceDN w:val="0"/>
        <w:adjustRightInd w:val="0"/>
        <w:rPr>
          <w:rFonts w:cs="Times"/>
        </w:rPr>
      </w:pPr>
      <w:r>
        <w:rPr>
          <w:rFonts w:cs="Helvetica"/>
          <w:i/>
          <w:iCs/>
        </w:rPr>
        <w:tab/>
      </w:r>
      <w:r>
        <w:rPr>
          <w:rFonts w:cs="Helvetica"/>
          <w:i/>
          <w:iCs/>
        </w:rPr>
        <w:tab/>
      </w:r>
      <w:r w:rsidRPr="00D721EF">
        <w:rPr>
          <w:rFonts w:cs="Helvetica"/>
        </w:rPr>
        <w:t>KFA, Public Conduct on School Property</w:t>
      </w:r>
    </w:p>
    <w:p w14:paraId="13BA5D01" w14:textId="77777777" w:rsidR="003063AA" w:rsidRPr="00D721EF" w:rsidRDefault="003063AA"/>
    <w:sectPr w:rsidR="003063AA" w:rsidRPr="00D721EF" w:rsidSect="000B12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94EF2C2"/>
    <w:lvl w:ilvl="0" w:tplc="C0AAE3F0">
      <w:start w:val="2"/>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8A51C82"/>
    <w:multiLevelType w:val="hybridMultilevel"/>
    <w:tmpl w:val="B64CFF5E"/>
    <w:lvl w:ilvl="0" w:tplc="C0AAE3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509D8"/>
    <w:multiLevelType w:val="hybridMultilevel"/>
    <w:tmpl w:val="96163A52"/>
    <w:lvl w:ilvl="0" w:tplc="04090019">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49FB686B"/>
    <w:multiLevelType w:val="hybridMultilevel"/>
    <w:tmpl w:val="358CABA0"/>
    <w:lvl w:ilvl="0" w:tplc="04090017">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nsid w:val="4F790ECB"/>
    <w:multiLevelType w:val="hybridMultilevel"/>
    <w:tmpl w:val="477E4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EF"/>
    <w:rsid w:val="003063AA"/>
    <w:rsid w:val="006301A9"/>
    <w:rsid w:val="00CE316A"/>
    <w:rsid w:val="00D4543D"/>
    <w:rsid w:val="00D7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FB72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1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21EF"/>
    <w:rPr>
      <w:rFonts w:ascii="Lucida Grande" w:hAnsi="Lucida Grande" w:cs="Lucida Grande"/>
      <w:sz w:val="18"/>
      <w:szCs w:val="18"/>
    </w:rPr>
  </w:style>
  <w:style w:type="paragraph" w:styleId="ListParagraph">
    <w:name w:val="List Paragraph"/>
    <w:basedOn w:val="Normal"/>
    <w:uiPriority w:val="34"/>
    <w:qFormat/>
    <w:rsid w:val="00D721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1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21EF"/>
    <w:rPr>
      <w:rFonts w:ascii="Lucida Grande" w:hAnsi="Lucida Grande" w:cs="Lucida Grande"/>
      <w:sz w:val="18"/>
      <w:szCs w:val="18"/>
    </w:rPr>
  </w:style>
  <w:style w:type="paragraph" w:styleId="ListParagraph">
    <w:name w:val="List Paragraph"/>
    <w:basedOn w:val="Normal"/>
    <w:uiPriority w:val="34"/>
    <w:qFormat/>
    <w:rsid w:val="00D72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2418</Characters>
  <Application>Microsoft Macintosh Word</Application>
  <DocSecurity>0</DocSecurity>
  <Lines>20</Lines>
  <Paragraphs>5</Paragraphs>
  <ScaleCrop>false</ScaleCrop>
  <Company>San Luis Valley BOCES</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4</cp:revision>
  <dcterms:created xsi:type="dcterms:W3CDTF">2014-02-23T22:12:00Z</dcterms:created>
  <dcterms:modified xsi:type="dcterms:W3CDTF">2014-11-29T00:07:00Z</dcterms:modified>
</cp:coreProperties>
</file>