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DB64" w14:textId="77777777" w:rsidR="00547AE8" w:rsidRPr="00547AE8" w:rsidRDefault="00547AE8" w:rsidP="00547AE8">
      <w:pPr>
        <w:widowControl w:val="0"/>
        <w:autoSpaceDE w:val="0"/>
        <w:autoSpaceDN w:val="0"/>
        <w:adjustRightInd w:val="0"/>
        <w:spacing w:after="240"/>
        <w:rPr>
          <w:rFonts w:cs="Helvetica"/>
          <w:bCs/>
        </w:rPr>
      </w:pPr>
      <w:r>
        <w:rPr>
          <w:rFonts w:cs="Helvetica"/>
          <w:bCs/>
        </w:rPr>
        <w:tab/>
      </w:r>
      <w:r>
        <w:rPr>
          <w:rFonts w:cs="Helvetica"/>
          <w:bCs/>
        </w:rPr>
        <w:tab/>
      </w:r>
      <w:r>
        <w:rPr>
          <w:rFonts w:cs="Helvetica"/>
          <w:bCs/>
        </w:rPr>
        <w:tab/>
      </w:r>
      <w:r>
        <w:rPr>
          <w:rFonts w:cs="Helvetica"/>
          <w:bCs/>
        </w:rPr>
        <w:tab/>
      </w:r>
      <w:r>
        <w:rPr>
          <w:rFonts w:cs="Helvetica"/>
          <w:bCs/>
        </w:rPr>
        <w:tab/>
      </w:r>
      <w:r>
        <w:rPr>
          <w:rFonts w:cs="Helvetica"/>
          <w:bCs/>
        </w:rPr>
        <w:tab/>
      </w:r>
      <w:r>
        <w:rPr>
          <w:rFonts w:cs="Helvetica"/>
          <w:bCs/>
        </w:rPr>
        <w:tab/>
      </w:r>
      <w:r>
        <w:rPr>
          <w:rFonts w:cs="Helvetica"/>
          <w:bCs/>
        </w:rPr>
        <w:tab/>
      </w:r>
      <w:r>
        <w:rPr>
          <w:rFonts w:cs="Helvetica"/>
          <w:bCs/>
        </w:rPr>
        <w:tab/>
      </w:r>
      <w:r>
        <w:rPr>
          <w:rFonts w:cs="Helvetica"/>
          <w:bCs/>
        </w:rPr>
        <w:tab/>
      </w:r>
      <w:r w:rsidRPr="00547AE8">
        <w:rPr>
          <w:rFonts w:cs="Helvetica"/>
          <w:bCs/>
        </w:rPr>
        <w:t>File: BC</w:t>
      </w:r>
    </w:p>
    <w:p w14:paraId="209E5E20" w14:textId="77777777" w:rsidR="00547AE8" w:rsidRPr="00547AE8" w:rsidRDefault="00547AE8" w:rsidP="00547AE8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</w:rPr>
      </w:pPr>
      <w:r w:rsidRPr="00547AE8">
        <w:rPr>
          <w:rFonts w:cs="Helvetica"/>
          <w:b/>
          <w:bCs/>
        </w:rPr>
        <w:t>Board Member Conduct</w:t>
      </w:r>
    </w:p>
    <w:p w14:paraId="768DC072" w14:textId="77777777" w:rsidR="00547AE8" w:rsidRPr="00547AE8" w:rsidRDefault="00547AE8" w:rsidP="00547AE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547AE8">
        <w:rPr>
          <w:rFonts w:cs="Helvetica"/>
        </w:rPr>
        <w:t xml:space="preserve">Public office is a trust created by the </w:t>
      </w:r>
      <w:r w:rsidR="004A54EF" w:rsidRPr="00547AE8">
        <w:rPr>
          <w:rFonts w:cs="Helvetica"/>
        </w:rPr>
        <w:t>confidence, which</w:t>
      </w:r>
      <w:r w:rsidRPr="00547AE8">
        <w:rPr>
          <w:rFonts w:cs="Helvetica"/>
        </w:rPr>
        <w:t xml:space="preserve"> the public places in the integrity of its public officers. To preserve this confidence, it is the desire of the Board to operate under the highest ethical standards.</w:t>
      </w:r>
    </w:p>
    <w:p w14:paraId="371CD8EA" w14:textId="77777777" w:rsidR="00547AE8" w:rsidRPr="00547AE8" w:rsidRDefault="00547AE8" w:rsidP="00547AE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547AE8">
        <w:rPr>
          <w:rFonts w:cs="Helvetica"/>
        </w:rPr>
        <w:t>In carrying out his/her fiduciary duties, a Board member shall not:</w:t>
      </w:r>
    </w:p>
    <w:p w14:paraId="68BA5A74" w14:textId="77777777" w:rsidR="00547AE8" w:rsidRDefault="00547AE8" w:rsidP="00547AE8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576"/>
        <w:rPr>
          <w:rFonts w:cs="Helvetica"/>
        </w:rPr>
      </w:pPr>
      <w:r w:rsidRPr="00547AE8">
        <w:rPr>
          <w:rFonts w:cs="Helvetica"/>
        </w:rPr>
        <w:t xml:space="preserve">Disclose or use confidential information acquired in the course of official duties to further substantially personal financial interests. </w:t>
      </w:r>
    </w:p>
    <w:p w14:paraId="502CFEFD" w14:textId="77777777" w:rsidR="00547AE8" w:rsidRPr="00547AE8" w:rsidRDefault="00547AE8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</w:rPr>
      </w:pPr>
    </w:p>
    <w:p w14:paraId="693F0A7F" w14:textId="77777777" w:rsidR="00547AE8" w:rsidRDefault="00547AE8" w:rsidP="00547AE8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576"/>
        <w:rPr>
          <w:rFonts w:cs="Helvetica"/>
        </w:rPr>
      </w:pPr>
      <w:r w:rsidRPr="00547AE8">
        <w:rPr>
          <w:rFonts w:cs="Helvetica"/>
        </w:rPr>
        <w:t xml:space="preserve">Accept a gift of substantial value or substantial economic benefit tantamount to a gift of substantial value which would tend to improperly influence a reasonable person in the position or which it is known or should be known is primarily for the purpose of a reward for official action taken. </w:t>
      </w:r>
    </w:p>
    <w:p w14:paraId="32829B21" w14:textId="77777777" w:rsidR="00547AE8" w:rsidRPr="00547AE8" w:rsidRDefault="00547AE8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</w:rPr>
      </w:pPr>
    </w:p>
    <w:p w14:paraId="57861788" w14:textId="77777777" w:rsidR="00547AE8" w:rsidRDefault="00547AE8" w:rsidP="00547AE8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576"/>
        <w:rPr>
          <w:rFonts w:cs="Helvetica"/>
        </w:rPr>
      </w:pPr>
      <w:r w:rsidRPr="00547AE8">
        <w:rPr>
          <w:rFonts w:cs="Helvetica"/>
        </w:rPr>
        <w:t xml:space="preserve">Engage in a substantial financial transaction for the member’s private business purposes with a person whom the member supervises in the course of official duties. </w:t>
      </w:r>
    </w:p>
    <w:p w14:paraId="4E418E61" w14:textId="77777777" w:rsidR="00547AE8" w:rsidRPr="00547AE8" w:rsidRDefault="00547AE8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</w:rPr>
      </w:pPr>
    </w:p>
    <w:p w14:paraId="43FFEE23" w14:textId="77777777" w:rsidR="00547AE8" w:rsidRPr="00547AE8" w:rsidRDefault="00547AE8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</w:rPr>
      </w:pPr>
    </w:p>
    <w:p w14:paraId="0019A9BB" w14:textId="0CD04B13" w:rsidR="00547AE8" w:rsidRDefault="00547AE8" w:rsidP="005C3656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576"/>
        <w:rPr>
          <w:rFonts w:cs="Helvetica"/>
        </w:rPr>
      </w:pPr>
      <w:r w:rsidRPr="00547AE8">
        <w:rPr>
          <w:rFonts w:cs="Helvetica"/>
        </w:rPr>
        <w:t xml:space="preserve">Perform an official act which directly and substantially confers an economic benefit on a business or other undertaking in which the member has a substantial financial interest or is engaged as counsel, consultant, representative or agent. </w:t>
      </w:r>
    </w:p>
    <w:p w14:paraId="2DDCCAA1" w14:textId="77777777" w:rsidR="005C3656" w:rsidRPr="005C3656" w:rsidRDefault="005C3656" w:rsidP="005C36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6"/>
        <w:rPr>
          <w:rFonts w:cs="Helvetica"/>
        </w:rPr>
      </w:pPr>
    </w:p>
    <w:p w14:paraId="73911351" w14:textId="77777777" w:rsidR="00547AE8" w:rsidRPr="00547AE8" w:rsidRDefault="00547AE8" w:rsidP="00547AE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547AE8">
        <w:rPr>
          <w:rFonts w:cs="Helvetica"/>
        </w:rPr>
        <w:t>It shall not be considered a breach of conduct for a Board member to:</w:t>
      </w:r>
    </w:p>
    <w:p w14:paraId="1F9F06F6" w14:textId="77777777" w:rsidR="00547AE8" w:rsidRPr="00A670B5" w:rsidRDefault="00547AE8" w:rsidP="00A670B5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rPr>
          <w:rFonts w:cs="Helvetica"/>
        </w:rPr>
      </w:pPr>
      <w:r w:rsidRPr="00A670B5">
        <w:rPr>
          <w:rFonts w:cs="Helvetica"/>
        </w:rPr>
        <w:t>Use BOCES facilities and equipment to</w:t>
      </w:r>
      <w:r w:rsidR="00A670B5">
        <w:rPr>
          <w:rFonts w:cs="Helvetica"/>
        </w:rPr>
        <w:t xml:space="preserve"> communicate or correspond with </w:t>
      </w:r>
      <w:r w:rsidRPr="00A670B5">
        <w:rPr>
          <w:rFonts w:cs="Helvetica"/>
        </w:rPr>
        <w:t xml:space="preserve">constituents, family members or business associates. </w:t>
      </w:r>
    </w:p>
    <w:p w14:paraId="32DAC849" w14:textId="77777777" w:rsidR="00547AE8" w:rsidRPr="00547AE8" w:rsidRDefault="00547AE8" w:rsidP="00A670B5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ind w:left="-450"/>
        <w:rPr>
          <w:rFonts w:cs="Helvetica"/>
        </w:rPr>
      </w:pPr>
    </w:p>
    <w:p w14:paraId="0E4265D9" w14:textId="77777777" w:rsidR="00547AE8" w:rsidRPr="00A670B5" w:rsidRDefault="00547AE8" w:rsidP="00A670B5">
      <w:pPr>
        <w:pStyle w:val="ListParagraph"/>
        <w:widowControl w:val="0"/>
        <w:numPr>
          <w:ilvl w:val="0"/>
          <w:numId w:val="11"/>
        </w:numPr>
        <w:tabs>
          <w:tab w:val="left" w:pos="270"/>
        </w:tabs>
        <w:autoSpaceDE w:val="0"/>
        <w:autoSpaceDN w:val="0"/>
        <w:adjustRightInd w:val="0"/>
        <w:rPr>
          <w:rFonts w:cs="Helvetica"/>
        </w:rPr>
      </w:pPr>
      <w:r w:rsidRPr="00A670B5">
        <w:rPr>
          <w:rFonts w:cs="Helvetica"/>
        </w:rPr>
        <w:t xml:space="preserve">Accept or receive a benefit as an indirect consequence of transacting BOCES business. </w:t>
      </w:r>
    </w:p>
    <w:p w14:paraId="2449FAB1" w14:textId="77777777" w:rsidR="00547AE8" w:rsidRPr="00547AE8" w:rsidRDefault="00547AE8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</w:rPr>
      </w:pPr>
    </w:p>
    <w:p w14:paraId="71DD0588" w14:textId="33E8C6E9" w:rsidR="00547AE8" w:rsidRDefault="004A54EF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Adopted: March 18, 2015</w:t>
      </w:r>
    </w:p>
    <w:p w14:paraId="0423B69C" w14:textId="3DB5DD8E" w:rsidR="005C3656" w:rsidRDefault="005C3656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Revised: May 27, 2020</w:t>
      </w:r>
    </w:p>
    <w:p w14:paraId="472A312F" w14:textId="77777777" w:rsidR="00547AE8" w:rsidRDefault="00547AE8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</w:rPr>
      </w:pPr>
    </w:p>
    <w:p w14:paraId="7C7D996F" w14:textId="710ECCC6" w:rsidR="00547AE8" w:rsidRPr="005C3656" w:rsidRDefault="00547AE8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i/>
          <w:iCs/>
        </w:rPr>
      </w:pPr>
      <w:r w:rsidRPr="00547AE8">
        <w:rPr>
          <w:rFonts w:cs="Helvetica"/>
        </w:rPr>
        <w:t>LEGAL REFS.:</w:t>
      </w:r>
      <w:r>
        <w:rPr>
          <w:rFonts w:cs="Helvetica"/>
        </w:rPr>
        <w:t xml:space="preserve"> </w:t>
      </w:r>
      <w:r w:rsidRPr="00547AE8">
        <w:rPr>
          <w:rFonts w:cs="Helvetica"/>
        </w:rPr>
        <w:t xml:space="preserve">C.R.S. 1-45-101 </w:t>
      </w:r>
      <w:r w:rsidRPr="00547AE8">
        <w:rPr>
          <w:rFonts w:cs="Helvetica"/>
          <w:i/>
          <w:iCs/>
        </w:rPr>
        <w:t xml:space="preserve">et seq. (Fair Campaign Practices Act) </w:t>
      </w:r>
    </w:p>
    <w:p w14:paraId="797424CB" w14:textId="77777777" w:rsidR="00547AE8" w:rsidRDefault="00547AE8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i/>
          <w:iCs/>
        </w:rPr>
      </w:pP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 w:rsidRPr="00547AE8">
        <w:rPr>
          <w:rFonts w:cs="Helvetica"/>
        </w:rPr>
        <w:t xml:space="preserve">C.R.S. 22-32-110 (1)(k) </w:t>
      </w:r>
      <w:r w:rsidRPr="00547AE8">
        <w:rPr>
          <w:rFonts w:cs="Helvetica"/>
          <w:i/>
          <w:iCs/>
        </w:rPr>
        <w:t xml:space="preserve">(specific powers of boards) </w:t>
      </w:r>
    </w:p>
    <w:p w14:paraId="77B4681E" w14:textId="77777777" w:rsidR="00547AE8" w:rsidRPr="00547AE8" w:rsidRDefault="00547AE8" w:rsidP="00547A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 w:rsidRPr="00547AE8">
        <w:rPr>
          <w:rFonts w:cs="Helvetica"/>
        </w:rPr>
        <w:t xml:space="preserve">C.R.S. 24-6-201 </w:t>
      </w:r>
      <w:r w:rsidRPr="00547AE8">
        <w:rPr>
          <w:rFonts w:cs="Helvetica"/>
          <w:i/>
          <w:iCs/>
        </w:rPr>
        <w:t>et seq. (public official disclosure law)</w:t>
      </w:r>
    </w:p>
    <w:p w14:paraId="5F0B4826" w14:textId="77777777" w:rsidR="00547AE8" w:rsidRDefault="00547AE8" w:rsidP="00547AE8">
      <w:pPr>
        <w:widowControl w:val="0"/>
        <w:autoSpaceDE w:val="0"/>
        <w:autoSpaceDN w:val="0"/>
        <w:adjustRightInd w:val="0"/>
        <w:rPr>
          <w:rFonts w:cs="Helvetica"/>
          <w:i/>
          <w:iCs/>
        </w:rPr>
      </w:pPr>
      <w:r>
        <w:rPr>
          <w:rFonts w:cs="Helvetica"/>
        </w:rPr>
        <w:tab/>
      </w:r>
      <w:r>
        <w:rPr>
          <w:rFonts w:cs="Helvetica"/>
        </w:rPr>
        <w:tab/>
      </w:r>
      <w:r w:rsidRPr="00547AE8">
        <w:rPr>
          <w:rFonts w:cs="Helvetica"/>
        </w:rPr>
        <w:t xml:space="preserve">C.R.S. 24-18-104 </w:t>
      </w:r>
      <w:r w:rsidRPr="00547AE8">
        <w:rPr>
          <w:rFonts w:cs="Helvetica"/>
          <w:i/>
          <w:iCs/>
        </w:rPr>
        <w:t xml:space="preserve">(rules of conduct for all public officers, general </w:t>
      </w:r>
    </w:p>
    <w:p w14:paraId="4EDBC062" w14:textId="77777777" w:rsidR="00547AE8" w:rsidRDefault="00547AE8" w:rsidP="00547AE8">
      <w:pPr>
        <w:widowControl w:val="0"/>
        <w:autoSpaceDE w:val="0"/>
        <w:autoSpaceDN w:val="0"/>
        <w:adjustRightInd w:val="0"/>
        <w:rPr>
          <w:rFonts w:cs="Helvetica"/>
          <w:i/>
          <w:iCs/>
        </w:rPr>
      </w:pP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 w:rsidRPr="00547AE8">
        <w:rPr>
          <w:rFonts w:cs="Helvetica"/>
          <w:i/>
          <w:iCs/>
        </w:rPr>
        <w:t>assembly, local government officials and employees) </w:t>
      </w:r>
    </w:p>
    <w:p w14:paraId="5F703CA0" w14:textId="77777777" w:rsidR="00547AE8" w:rsidRDefault="00547AE8" w:rsidP="00547AE8">
      <w:pPr>
        <w:widowControl w:val="0"/>
        <w:autoSpaceDE w:val="0"/>
        <w:autoSpaceDN w:val="0"/>
        <w:adjustRightInd w:val="0"/>
        <w:rPr>
          <w:rFonts w:cs="Helvetica"/>
          <w:i/>
          <w:iCs/>
        </w:rPr>
      </w:pP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 w:rsidRPr="00547AE8">
        <w:rPr>
          <w:rFonts w:cs="Helvetica"/>
        </w:rPr>
        <w:t xml:space="preserve">C.R.S. 24-18-109 </w:t>
      </w:r>
      <w:r w:rsidRPr="00547AE8">
        <w:rPr>
          <w:rFonts w:cs="Helvetica"/>
          <w:i/>
          <w:iCs/>
        </w:rPr>
        <w:t xml:space="preserve">(rules of conduct for local government officials and </w:t>
      </w:r>
    </w:p>
    <w:p w14:paraId="0CE8604A" w14:textId="5FD2C552" w:rsidR="003063AA" w:rsidRPr="005C3656" w:rsidRDefault="00547AE8" w:rsidP="005C3656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Helvetica"/>
          <w:i/>
          <w:iCs/>
        </w:rPr>
        <w:tab/>
      </w:r>
      <w:r>
        <w:rPr>
          <w:rFonts w:cs="Helvetica"/>
          <w:i/>
          <w:iCs/>
        </w:rPr>
        <w:tab/>
      </w:r>
      <w:r w:rsidRPr="00547AE8">
        <w:rPr>
          <w:rFonts w:cs="Helvetica"/>
          <w:i/>
          <w:iCs/>
        </w:rPr>
        <w:t>employees)</w:t>
      </w:r>
    </w:p>
    <w:sectPr w:rsidR="003063AA" w:rsidRPr="005C3656" w:rsidSect="000B12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C35153"/>
    <w:multiLevelType w:val="hybridMultilevel"/>
    <w:tmpl w:val="3AFAF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33DFF"/>
    <w:multiLevelType w:val="hybridMultilevel"/>
    <w:tmpl w:val="4A867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47BE1"/>
    <w:multiLevelType w:val="hybridMultilevel"/>
    <w:tmpl w:val="96F0E8A0"/>
    <w:lvl w:ilvl="0" w:tplc="0409000F">
      <w:start w:val="1"/>
      <w:numFmt w:val="decimal"/>
      <w:lvlText w:val="%1."/>
      <w:lvlJc w:val="left"/>
      <w:pPr>
        <w:ind w:left="580" w:hanging="360"/>
      </w:p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30EF0776"/>
    <w:multiLevelType w:val="hybridMultilevel"/>
    <w:tmpl w:val="DDA232A6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510D16F0"/>
    <w:multiLevelType w:val="hybridMultilevel"/>
    <w:tmpl w:val="573E8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462"/>
    <w:multiLevelType w:val="hybridMultilevel"/>
    <w:tmpl w:val="8A58C9A6"/>
    <w:lvl w:ilvl="0" w:tplc="00000001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85019"/>
    <w:multiLevelType w:val="hybridMultilevel"/>
    <w:tmpl w:val="25F6A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821E8"/>
    <w:multiLevelType w:val="hybridMultilevel"/>
    <w:tmpl w:val="F112E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E8"/>
    <w:rsid w:val="000F26BA"/>
    <w:rsid w:val="003063AA"/>
    <w:rsid w:val="004A54EF"/>
    <w:rsid w:val="00547AE8"/>
    <w:rsid w:val="005C3656"/>
    <w:rsid w:val="00A670B5"/>
    <w:rsid w:val="00F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4B2864"/>
  <w14:defaultImageDpi w14:val="300"/>
  <w15:docId w15:val="{74195112-9AE2-7946-B3B5-01ABA195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A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1619</Characters>
  <Application>Microsoft Office Word</Application>
  <DocSecurity>0</DocSecurity>
  <Lines>13</Lines>
  <Paragraphs>3</Paragraphs>
  <ScaleCrop>false</ScaleCrop>
  <Company>San Luis Valley BOCES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2019-12-15T19:59:00Z</dcterms:created>
  <dcterms:modified xsi:type="dcterms:W3CDTF">2020-05-28T21:11:00Z</dcterms:modified>
</cp:coreProperties>
</file>