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986A7" w14:textId="77777777" w:rsidR="00D710F5" w:rsidRPr="00D710F5" w:rsidRDefault="00D710F5" w:rsidP="00D710F5">
      <w:pPr>
        <w:widowControl w:val="0"/>
        <w:autoSpaceDE w:val="0"/>
        <w:autoSpaceDN w:val="0"/>
        <w:adjustRightInd w:val="0"/>
        <w:spacing w:after="240"/>
        <w:rPr>
          <w:rFonts w:cs="Times"/>
        </w:rPr>
      </w:pP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sidRPr="00D710F5">
        <w:rPr>
          <w:rFonts w:cs="Helvetica"/>
        </w:rPr>
        <w:t>File: BC-R</w:t>
      </w:r>
    </w:p>
    <w:p w14:paraId="2F7F98A0" w14:textId="77777777" w:rsidR="00D710F5" w:rsidRDefault="00D710F5" w:rsidP="00D710F5">
      <w:pPr>
        <w:widowControl w:val="0"/>
        <w:autoSpaceDE w:val="0"/>
        <w:autoSpaceDN w:val="0"/>
        <w:adjustRightInd w:val="0"/>
        <w:jc w:val="center"/>
        <w:rPr>
          <w:rFonts w:cs="Helvetica"/>
          <w:b/>
          <w:bCs/>
        </w:rPr>
      </w:pPr>
      <w:r w:rsidRPr="00D710F5">
        <w:rPr>
          <w:rFonts w:cs="Helvetica"/>
          <w:b/>
          <w:bCs/>
        </w:rPr>
        <w:t>Board Member Financial Disclosure</w:t>
      </w:r>
    </w:p>
    <w:p w14:paraId="4D0EF170" w14:textId="77777777" w:rsidR="00D710F5" w:rsidRPr="00D710F5" w:rsidRDefault="00D710F5" w:rsidP="00D710F5">
      <w:pPr>
        <w:widowControl w:val="0"/>
        <w:autoSpaceDE w:val="0"/>
        <w:autoSpaceDN w:val="0"/>
        <w:adjustRightInd w:val="0"/>
        <w:jc w:val="center"/>
        <w:rPr>
          <w:rFonts w:cs="Times"/>
        </w:rPr>
      </w:pPr>
    </w:p>
    <w:p w14:paraId="5151422F" w14:textId="77777777" w:rsidR="00D710F5" w:rsidRPr="00D710F5" w:rsidRDefault="00D710F5" w:rsidP="00D710F5">
      <w:pPr>
        <w:widowControl w:val="0"/>
        <w:autoSpaceDE w:val="0"/>
        <w:autoSpaceDN w:val="0"/>
        <w:adjustRightInd w:val="0"/>
        <w:spacing w:after="240"/>
        <w:rPr>
          <w:rFonts w:cs="Times"/>
        </w:rPr>
      </w:pPr>
      <w:r w:rsidRPr="00D710F5">
        <w:rPr>
          <w:rFonts w:cs="Helvetica"/>
        </w:rPr>
        <w:t>Board members are required by law to disclose certain items received in connection with serving on the Board. If Board members receive such items, they must file a report with the secretary of state on forms prescribed by the secretary of state. Such report must be filed on or before January 15, April 15, July 15 and October 15 of each year, and shall cover the period since the last report. The report must contain the name of the person from whom the reportable item was received, its value and the date of receipt. Board members who do not receive any items that must be reported are not required to file a report.</w:t>
      </w:r>
    </w:p>
    <w:p w14:paraId="3564DF83" w14:textId="0BD603A7" w:rsidR="00D710F5" w:rsidRPr="00D710F5" w:rsidRDefault="001536BA" w:rsidP="00D710F5">
      <w:pPr>
        <w:widowControl w:val="0"/>
        <w:autoSpaceDE w:val="0"/>
        <w:autoSpaceDN w:val="0"/>
        <w:adjustRightInd w:val="0"/>
        <w:spacing w:after="240"/>
        <w:rPr>
          <w:rFonts w:cs="Times"/>
        </w:rPr>
      </w:pPr>
      <w:r w:rsidRPr="00D710F5">
        <w:rPr>
          <w:rFonts w:cs="Helvetica"/>
        </w:rPr>
        <w:t>Items, which must be reported,</w:t>
      </w:r>
      <w:r w:rsidR="00D710F5" w:rsidRPr="00D710F5">
        <w:rPr>
          <w:rFonts w:cs="Helvetica"/>
        </w:rPr>
        <w:t xml:space="preserve"> include the following:</w:t>
      </w:r>
    </w:p>
    <w:p w14:paraId="79DF87A4" w14:textId="35627C57" w:rsidR="00D710F5" w:rsidRPr="005F0AB6" w:rsidRDefault="00D710F5" w:rsidP="005F0AB6">
      <w:pPr>
        <w:pStyle w:val="ListParagraph"/>
        <w:widowControl w:val="0"/>
        <w:numPr>
          <w:ilvl w:val="0"/>
          <w:numId w:val="4"/>
        </w:numPr>
        <w:tabs>
          <w:tab w:val="left" w:pos="220"/>
          <w:tab w:val="left" w:pos="720"/>
        </w:tabs>
        <w:autoSpaceDE w:val="0"/>
        <w:autoSpaceDN w:val="0"/>
        <w:adjustRightInd w:val="0"/>
        <w:ind w:left="580"/>
        <w:rPr>
          <w:rFonts w:cs="Helvetica"/>
        </w:rPr>
      </w:pPr>
      <w:r w:rsidRPr="005F0AB6">
        <w:rPr>
          <w:rFonts w:cs="Helvetica"/>
        </w:rPr>
        <w:t>Any money received, including a loan, pledge, advance, guarantee of a loan or any forbearance or forgiveness of indebtedness from any pers</w:t>
      </w:r>
      <w:r w:rsidR="00464492">
        <w:rPr>
          <w:rFonts w:cs="Helvetica"/>
        </w:rPr>
        <w:t>on with a value greater than $</w:t>
      </w:r>
      <w:r w:rsidR="00464492" w:rsidRPr="007E4FD6">
        <w:rPr>
          <w:rFonts w:cs="Helvetica"/>
        </w:rPr>
        <w:t>65</w:t>
      </w:r>
      <w:r w:rsidRPr="007E4FD6">
        <w:rPr>
          <w:rFonts w:cs="Helvetica"/>
        </w:rPr>
        <w:t>.</w:t>
      </w:r>
      <w:r w:rsidRPr="005F0AB6">
        <w:rPr>
          <w:rFonts w:cs="Helvetica"/>
        </w:rPr>
        <w:t xml:space="preserve"> </w:t>
      </w:r>
    </w:p>
    <w:p w14:paraId="0F63A3BB" w14:textId="77777777" w:rsidR="00D710F5" w:rsidRPr="00D710F5" w:rsidRDefault="00D710F5" w:rsidP="005F0AB6">
      <w:pPr>
        <w:widowControl w:val="0"/>
        <w:tabs>
          <w:tab w:val="left" w:pos="220"/>
          <w:tab w:val="left" w:pos="720"/>
        </w:tabs>
        <w:autoSpaceDE w:val="0"/>
        <w:autoSpaceDN w:val="0"/>
        <w:adjustRightInd w:val="0"/>
        <w:rPr>
          <w:rFonts w:cs="Helvetica"/>
        </w:rPr>
      </w:pPr>
    </w:p>
    <w:p w14:paraId="7C8CE7DD" w14:textId="36C4C7B8" w:rsidR="00D710F5" w:rsidRPr="007E4FD6" w:rsidRDefault="00D710F5" w:rsidP="005F0AB6">
      <w:pPr>
        <w:pStyle w:val="ListParagraph"/>
        <w:widowControl w:val="0"/>
        <w:numPr>
          <w:ilvl w:val="0"/>
          <w:numId w:val="4"/>
        </w:numPr>
        <w:tabs>
          <w:tab w:val="left" w:pos="220"/>
          <w:tab w:val="left" w:pos="720"/>
        </w:tabs>
        <w:autoSpaceDE w:val="0"/>
        <w:autoSpaceDN w:val="0"/>
        <w:adjustRightInd w:val="0"/>
        <w:ind w:left="580"/>
        <w:rPr>
          <w:rFonts w:cs="Helvetica"/>
        </w:rPr>
      </w:pPr>
      <w:r w:rsidRPr="005F0AB6">
        <w:rPr>
          <w:rFonts w:cs="Helvetica"/>
        </w:rPr>
        <w:t>Any gift of any item of real or personal property other than mon</w:t>
      </w:r>
      <w:r w:rsidR="00464492">
        <w:rPr>
          <w:rFonts w:cs="Helvetica"/>
        </w:rPr>
        <w:t>ey with a value greater than $</w:t>
      </w:r>
      <w:r w:rsidR="00464492" w:rsidRPr="007E4FD6">
        <w:rPr>
          <w:rFonts w:cs="Helvetica"/>
        </w:rPr>
        <w:t>65</w:t>
      </w:r>
      <w:r w:rsidRPr="007E4FD6">
        <w:rPr>
          <w:rFonts w:cs="Helvetica"/>
        </w:rPr>
        <w:t xml:space="preserve">. </w:t>
      </w:r>
    </w:p>
    <w:p w14:paraId="44A80C8F" w14:textId="77777777" w:rsidR="00D710F5" w:rsidRPr="00D710F5" w:rsidRDefault="00D710F5" w:rsidP="005F0AB6">
      <w:pPr>
        <w:widowControl w:val="0"/>
        <w:tabs>
          <w:tab w:val="left" w:pos="220"/>
          <w:tab w:val="left" w:pos="720"/>
        </w:tabs>
        <w:autoSpaceDE w:val="0"/>
        <w:autoSpaceDN w:val="0"/>
        <w:adjustRightInd w:val="0"/>
        <w:rPr>
          <w:rFonts w:cs="Helvetica"/>
        </w:rPr>
      </w:pPr>
    </w:p>
    <w:p w14:paraId="7DF6ACC7" w14:textId="7C2F26D5" w:rsidR="00D710F5" w:rsidRPr="005F0AB6" w:rsidRDefault="00D710F5" w:rsidP="005F0AB6">
      <w:pPr>
        <w:pStyle w:val="ListParagraph"/>
        <w:widowControl w:val="0"/>
        <w:numPr>
          <w:ilvl w:val="0"/>
          <w:numId w:val="4"/>
        </w:numPr>
        <w:tabs>
          <w:tab w:val="left" w:pos="220"/>
          <w:tab w:val="left" w:pos="720"/>
        </w:tabs>
        <w:autoSpaceDE w:val="0"/>
        <w:autoSpaceDN w:val="0"/>
        <w:adjustRightInd w:val="0"/>
        <w:ind w:left="580"/>
        <w:rPr>
          <w:rFonts w:cs="Helvetica"/>
        </w:rPr>
      </w:pPr>
      <w:r w:rsidRPr="005F0AB6">
        <w:rPr>
          <w:rFonts w:cs="Helvetica"/>
        </w:rPr>
        <w:t>Any loan of real or personal property if the value</w:t>
      </w:r>
      <w:r w:rsidR="00464492">
        <w:rPr>
          <w:rFonts w:cs="Helvetica"/>
        </w:rPr>
        <w:t xml:space="preserve"> of the loan is greater than $</w:t>
      </w:r>
      <w:r w:rsidR="00464492" w:rsidRPr="007E4FD6">
        <w:rPr>
          <w:rFonts w:cs="Helvetica"/>
        </w:rPr>
        <w:t>65</w:t>
      </w:r>
      <w:r w:rsidRPr="007E4FD6">
        <w:rPr>
          <w:rFonts w:cs="Helvetica"/>
        </w:rPr>
        <w:t>.</w:t>
      </w:r>
      <w:r w:rsidRPr="005F0AB6">
        <w:rPr>
          <w:rFonts w:cs="Helvetica"/>
        </w:rPr>
        <w:t xml:space="preserve"> "Value of the loan" means the cost saved or avoided by the Board member by not borrowing, leasing or purchasing comparable property from a source available to the general public.</w:t>
      </w:r>
    </w:p>
    <w:p w14:paraId="7B4F3E88" w14:textId="77777777" w:rsidR="00D710F5" w:rsidRPr="00D710F5" w:rsidRDefault="00D710F5" w:rsidP="005F0AB6">
      <w:pPr>
        <w:widowControl w:val="0"/>
        <w:tabs>
          <w:tab w:val="left" w:pos="220"/>
          <w:tab w:val="left" w:pos="720"/>
        </w:tabs>
        <w:autoSpaceDE w:val="0"/>
        <w:autoSpaceDN w:val="0"/>
        <w:adjustRightInd w:val="0"/>
        <w:rPr>
          <w:rFonts w:cs="Helvetica"/>
        </w:rPr>
      </w:pPr>
    </w:p>
    <w:p w14:paraId="2A1EEB82" w14:textId="77777777" w:rsidR="00D710F5" w:rsidRPr="005F0AB6" w:rsidRDefault="00D710F5" w:rsidP="005F0AB6">
      <w:pPr>
        <w:pStyle w:val="ListParagraph"/>
        <w:widowControl w:val="0"/>
        <w:numPr>
          <w:ilvl w:val="0"/>
          <w:numId w:val="4"/>
        </w:numPr>
        <w:tabs>
          <w:tab w:val="left" w:pos="220"/>
          <w:tab w:val="left" w:pos="720"/>
        </w:tabs>
        <w:autoSpaceDE w:val="0"/>
        <w:autoSpaceDN w:val="0"/>
        <w:adjustRightInd w:val="0"/>
        <w:ind w:left="580"/>
        <w:rPr>
          <w:rFonts w:cs="Helvetica"/>
        </w:rPr>
      </w:pPr>
      <w:r w:rsidRPr="005F0AB6">
        <w:rPr>
          <w:rFonts w:cs="Helvetica"/>
        </w:rPr>
        <w:t xml:space="preserve">Any payment for a speech, appearance or publication. </w:t>
      </w:r>
    </w:p>
    <w:p w14:paraId="7F3D96B1" w14:textId="77777777" w:rsidR="00D710F5" w:rsidRPr="00D710F5" w:rsidRDefault="00D710F5" w:rsidP="005F0AB6">
      <w:pPr>
        <w:widowControl w:val="0"/>
        <w:tabs>
          <w:tab w:val="left" w:pos="220"/>
          <w:tab w:val="left" w:pos="720"/>
        </w:tabs>
        <w:autoSpaceDE w:val="0"/>
        <w:autoSpaceDN w:val="0"/>
        <w:adjustRightInd w:val="0"/>
        <w:rPr>
          <w:rFonts w:cs="Helvetica"/>
        </w:rPr>
      </w:pPr>
    </w:p>
    <w:p w14:paraId="78CAF48A" w14:textId="257AD7A2" w:rsidR="00D710F5" w:rsidRPr="005F0AB6" w:rsidRDefault="00D710F5" w:rsidP="005F0AB6">
      <w:pPr>
        <w:pStyle w:val="ListParagraph"/>
        <w:widowControl w:val="0"/>
        <w:numPr>
          <w:ilvl w:val="0"/>
          <w:numId w:val="4"/>
        </w:numPr>
        <w:tabs>
          <w:tab w:val="left" w:pos="220"/>
          <w:tab w:val="left" w:pos="720"/>
        </w:tabs>
        <w:autoSpaceDE w:val="0"/>
        <w:autoSpaceDN w:val="0"/>
        <w:adjustRightInd w:val="0"/>
        <w:ind w:left="580"/>
        <w:rPr>
          <w:rFonts w:cs="Helvetica"/>
        </w:rPr>
      </w:pPr>
      <w:r w:rsidRPr="005F0AB6">
        <w:rPr>
          <w:rFonts w:cs="Helvetica"/>
        </w:rPr>
        <w:t>Tickets to a sporting, recreational, educational or cultural eve</w:t>
      </w:r>
      <w:r w:rsidR="00464492">
        <w:rPr>
          <w:rFonts w:cs="Helvetica"/>
        </w:rPr>
        <w:t>nt with a value greater than $</w:t>
      </w:r>
      <w:r w:rsidR="00464492" w:rsidRPr="007E4FD6">
        <w:rPr>
          <w:rFonts w:cs="Helvetica"/>
        </w:rPr>
        <w:t>65</w:t>
      </w:r>
      <w:r w:rsidRPr="005F0AB6">
        <w:rPr>
          <w:rFonts w:cs="Helvetica"/>
        </w:rPr>
        <w:t xml:space="preserve"> for any single event. </w:t>
      </w:r>
    </w:p>
    <w:p w14:paraId="1D14563C" w14:textId="77777777" w:rsidR="00D710F5" w:rsidRPr="00D710F5" w:rsidRDefault="00D710F5" w:rsidP="005F0AB6">
      <w:pPr>
        <w:widowControl w:val="0"/>
        <w:tabs>
          <w:tab w:val="left" w:pos="220"/>
          <w:tab w:val="left" w:pos="720"/>
        </w:tabs>
        <w:autoSpaceDE w:val="0"/>
        <w:autoSpaceDN w:val="0"/>
        <w:adjustRightInd w:val="0"/>
        <w:rPr>
          <w:rFonts w:cs="Helvetica"/>
        </w:rPr>
      </w:pPr>
    </w:p>
    <w:p w14:paraId="303CF844" w14:textId="77777777" w:rsidR="00D710F5" w:rsidRPr="005F0AB6" w:rsidRDefault="00D710F5" w:rsidP="005F0AB6">
      <w:pPr>
        <w:pStyle w:val="ListParagraph"/>
        <w:widowControl w:val="0"/>
        <w:numPr>
          <w:ilvl w:val="0"/>
          <w:numId w:val="4"/>
        </w:numPr>
        <w:tabs>
          <w:tab w:val="left" w:pos="220"/>
          <w:tab w:val="left" w:pos="720"/>
        </w:tabs>
        <w:autoSpaceDE w:val="0"/>
        <w:autoSpaceDN w:val="0"/>
        <w:adjustRightInd w:val="0"/>
        <w:ind w:left="580"/>
        <w:rPr>
          <w:rFonts w:cs="Helvetica"/>
        </w:rPr>
      </w:pPr>
      <w:r w:rsidRPr="005F0AB6">
        <w:rPr>
          <w:rFonts w:cs="Helvetica"/>
        </w:rPr>
        <w:t>Payment of or reimbursement for actual and necessary expenses for travel and lodging for attendance at a convention, fact-finding mission or</w:t>
      </w:r>
      <w:r w:rsidR="005F0AB6">
        <w:rPr>
          <w:rFonts w:cs="Helvetica"/>
        </w:rPr>
        <w:t xml:space="preserve"> trip, or other meeting if the B</w:t>
      </w:r>
      <w:r w:rsidRPr="005F0AB6">
        <w:rPr>
          <w:rFonts w:cs="Helvetica"/>
        </w:rPr>
        <w:t xml:space="preserve">oard member is scheduled to deliver a speech, make a presentation, participate on a panel or represent the school district unless the payment for such expenditures is made from public funds or from the funds of any association of public officials or public entities such as the Colorado Association of School Boards (CASB). </w:t>
      </w:r>
    </w:p>
    <w:p w14:paraId="2E0D1295" w14:textId="77777777" w:rsidR="00D710F5" w:rsidRPr="00D710F5" w:rsidRDefault="00D710F5" w:rsidP="005F0AB6">
      <w:pPr>
        <w:widowControl w:val="0"/>
        <w:tabs>
          <w:tab w:val="left" w:pos="220"/>
          <w:tab w:val="left" w:pos="720"/>
        </w:tabs>
        <w:autoSpaceDE w:val="0"/>
        <w:autoSpaceDN w:val="0"/>
        <w:adjustRightInd w:val="0"/>
        <w:rPr>
          <w:rFonts w:cs="Helvetica"/>
        </w:rPr>
      </w:pPr>
    </w:p>
    <w:p w14:paraId="6CC4304C" w14:textId="162A56E8" w:rsidR="00D710F5" w:rsidRPr="001536BA" w:rsidRDefault="00D710F5" w:rsidP="001536BA">
      <w:pPr>
        <w:pStyle w:val="ListParagraph"/>
        <w:widowControl w:val="0"/>
        <w:numPr>
          <w:ilvl w:val="0"/>
          <w:numId w:val="4"/>
        </w:numPr>
        <w:autoSpaceDE w:val="0"/>
        <w:autoSpaceDN w:val="0"/>
        <w:adjustRightInd w:val="0"/>
        <w:ind w:left="580"/>
        <w:rPr>
          <w:rFonts w:cs="Times"/>
        </w:rPr>
      </w:pPr>
      <w:r w:rsidRPr="005F0AB6">
        <w:rPr>
          <w:rFonts w:cs="Helvetica"/>
        </w:rPr>
        <w:t>Any gift of a meal to a fund-raising event of a political party.</w:t>
      </w:r>
    </w:p>
    <w:p w14:paraId="7154B022" w14:textId="77777777" w:rsidR="001536BA" w:rsidRPr="001536BA" w:rsidRDefault="001536BA" w:rsidP="001536BA">
      <w:pPr>
        <w:widowControl w:val="0"/>
        <w:autoSpaceDE w:val="0"/>
        <w:autoSpaceDN w:val="0"/>
        <w:adjustRightInd w:val="0"/>
        <w:ind w:left="220"/>
        <w:rPr>
          <w:rFonts w:cs="Times"/>
        </w:rPr>
      </w:pPr>
    </w:p>
    <w:p w14:paraId="3D7DC520" w14:textId="77777777" w:rsidR="00D710F5" w:rsidRPr="00D710F5" w:rsidRDefault="00D710F5" w:rsidP="00D710F5">
      <w:pPr>
        <w:widowControl w:val="0"/>
        <w:autoSpaceDE w:val="0"/>
        <w:autoSpaceDN w:val="0"/>
        <w:adjustRightInd w:val="0"/>
        <w:spacing w:after="240"/>
        <w:rPr>
          <w:rFonts w:cs="Times"/>
        </w:rPr>
      </w:pPr>
      <w:r w:rsidRPr="00D710F5">
        <w:rPr>
          <w:rFonts w:cs="Helvetica"/>
        </w:rPr>
        <w:t>To avoid misunderstandings about the value of an item, the donor must furnish the Board member with a written statement of the dollar value of the item when it is given.</w:t>
      </w:r>
    </w:p>
    <w:p w14:paraId="1D003DA9" w14:textId="77777777" w:rsidR="00D710F5" w:rsidRDefault="00D710F5" w:rsidP="00D710F5">
      <w:pPr>
        <w:widowControl w:val="0"/>
        <w:autoSpaceDE w:val="0"/>
        <w:autoSpaceDN w:val="0"/>
        <w:adjustRightInd w:val="0"/>
        <w:spacing w:after="240"/>
        <w:rPr>
          <w:rFonts w:cs="Helvetica"/>
        </w:rPr>
      </w:pPr>
    </w:p>
    <w:p w14:paraId="1365E0D0" w14:textId="54A52047" w:rsidR="00D710F5" w:rsidRDefault="001536BA" w:rsidP="007E4FD6">
      <w:pPr>
        <w:widowControl w:val="0"/>
        <w:autoSpaceDE w:val="0"/>
        <w:autoSpaceDN w:val="0"/>
        <w:adjustRightInd w:val="0"/>
        <w:rPr>
          <w:rFonts w:cs="Helvetica"/>
        </w:rPr>
      </w:pPr>
      <w:r>
        <w:rPr>
          <w:rFonts w:cs="Helvetica"/>
        </w:rPr>
        <w:t>Adopted: March 18, 2015</w:t>
      </w:r>
    </w:p>
    <w:p w14:paraId="5DD421FA" w14:textId="777AF4A1" w:rsidR="007E4FD6" w:rsidRDefault="007E4FD6" w:rsidP="007E4FD6">
      <w:pPr>
        <w:widowControl w:val="0"/>
        <w:autoSpaceDE w:val="0"/>
        <w:autoSpaceDN w:val="0"/>
        <w:adjustRightInd w:val="0"/>
        <w:rPr>
          <w:rFonts w:cs="Helvetica"/>
        </w:rPr>
      </w:pPr>
      <w:r>
        <w:rPr>
          <w:rFonts w:cs="Helvetica"/>
        </w:rPr>
        <w:t>Revised: May 27, 2020</w:t>
      </w:r>
    </w:p>
    <w:p w14:paraId="24DD0F71" w14:textId="77777777" w:rsidR="007E4FD6" w:rsidRDefault="007E4FD6" w:rsidP="00D710F5">
      <w:pPr>
        <w:widowControl w:val="0"/>
        <w:autoSpaceDE w:val="0"/>
        <w:autoSpaceDN w:val="0"/>
        <w:adjustRightInd w:val="0"/>
        <w:spacing w:after="240"/>
        <w:rPr>
          <w:rFonts w:cs="Helvetica"/>
        </w:rPr>
      </w:pPr>
    </w:p>
    <w:p w14:paraId="466E5764" w14:textId="17EAC6E5" w:rsidR="00D710F5" w:rsidRPr="00D710F5" w:rsidRDefault="00D710F5" w:rsidP="00D710F5">
      <w:pPr>
        <w:widowControl w:val="0"/>
        <w:autoSpaceDE w:val="0"/>
        <w:autoSpaceDN w:val="0"/>
        <w:adjustRightInd w:val="0"/>
        <w:spacing w:after="240"/>
        <w:rPr>
          <w:rFonts w:cs="Times"/>
        </w:rPr>
      </w:pPr>
      <w:r w:rsidRPr="00D710F5">
        <w:rPr>
          <w:rFonts w:cs="Helvetica"/>
        </w:rPr>
        <w:t xml:space="preserve">LEGAL REF.: </w:t>
      </w:r>
      <w:r>
        <w:rPr>
          <w:rFonts w:cs="Helvetica"/>
        </w:rPr>
        <w:tab/>
      </w:r>
      <w:r w:rsidRPr="00D710F5">
        <w:rPr>
          <w:rFonts w:cs="Helvetica"/>
        </w:rPr>
        <w:t xml:space="preserve">C.R.S. 24-6-201 </w:t>
      </w:r>
      <w:r w:rsidRPr="00D710F5">
        <w:rPr>
          <w:rFonts w:cs="Helvetica"/>
          <w:i/>
          <w:iCs/>
        </w:rPr>
        <w:t>et seq. (public official disclosure law)</w:t>
      </w:r>
    </w:p>
    <w:p w14:paraId="121B6A47" w14:textId="77777777" w:rsidR="00D710F5" w:rsidRPr="00D710F5" w:rsidRDefault="00D710F5" w:rsidP="00D710F5">
      <w:pPr>
        <w:widowControl w:val="0"/>
        <w:autoSpaceDE w:val="0"/>
        <w:autoSpaceDN w:val="0"/>
        <w:adjustRightInd w:val="0"/>
        <w:rPr>
          <w:rFonts w:cs="Times"/>
        </w:rPr>
      </w:pPr>
      <w:r w:rsidRPr="00D710F5">
        <w:rPr>
          <w:rFonts w:cs="Times"/>
          <w:noProof/>
        </w:rPr>
        <w:drawing>
          <wp:inline distT="0" distB="0" distL="0" distR="0" wp14:anchorId="74B418B1" wp14:editId="3C2436C9">
            <wp:extent cx="118745" cy="82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745" cy="8255"/>
                    </a:xfrm>
                    <a:prstGeom prst="rect">
                      <a:avLst/>
                    </a:prstGeom>
                    <a:noFill/>
                    <a:ln>
                      <a:noFill/>
                    </a:ln>
                  </pic:spPr>
                </pic:pic>
              </a:graphicData>
            </a:graphic>
          </wp:inline>
        </w:drawing>
      </w:r>
    </w:p>
    <w:p w14:paraId="40C8DC31" w14:textId="77777777" w:rsidR="003063AA" w:rsidRPr="00D710F5" w:rsidRDefault="003063AA"/>
    <w:sectPr w:rsidR="003063AA" w:rsidRPr="00D710F5" w:rsidSect="000B122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notTrueType/>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477999"/>
    <w:multiLevelType w:val="hybridMultilevel"/>
    <w:tmpl w:val="529EE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66F71"/>
    <w:multiLevelType w:val="hybridMultilevel"/>
    <w:tmpl w:val="2702F4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CC830C0"/>
    <w:multiLevelType w:val="hybridMultilevel"/>
    <w:tmpl w:val="C870FB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0F5"/>
    <w:rsid w:val="001536BA"/>
    <w:rsid w:val="003063AA"/>
    <w:rsid w:val="00464492"/>
    <w:rsid w:val="005F0AB6"/>
    <w:rsid w:val="007E4FD6"/>
    <w:rsid w:val="00B6477A"/>
    <w:rsid w:val="00D71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59426C"/>
  <w14:defaultImageDpi w14:val="300"/>
  <w15:docId w15:val="{74195112-9AE2-7946-B3B5-01ABA195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0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10F5"/>
    <w:rPr>
      <w:rFonts w:ascii="Lucida Grande" w:hAnsi="Lucida Grande" w:cs="Lucida Grande"/>
      <w:sz w:val="18"/>
      <w:szCs w:val="18"/>
    </w:rPr>
  </w:style>
  <w:style w:type="paragraph" w:styleId="ListParagraph">
    <w:name w:val="List Paragraph"/>
    <w:basedOn w:val="Normal"/>
    <w:uiPriority w:val="34"/>
    <w:qFormat/>
    <w:rsid w:val="00D71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343</Words>
  <Characters>1956</Characters>
  <Application>Microsoft Office Word</Application>
  <DocSecurity>0</DocSecurity>
  <Lines>16</Lines>
  <Paragraphs>4</Paragraphs>
  <ScaleCrop>false</ScaleCrop>
  <Company>San Luis Valley BOCES</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4</cp:revision>
  <dcterms:created xsi:type="dcterms:W3CDTF">2019-12-15T20:00:00Z</dcterms:created>
  <dcterms:modified xsi:type="dcterms:W3CDTF">2020-05-28T21:13:00Z</dcterms:modified>
</cp:coreProperties>
</file>