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24D04" w14:textId="77777777" w:rsidR="002A215F" w:rsidRPr="002A215F" w:rsidRDefault="002A215F" w:rsidP="002A215F">
      <w:pPr>
        <w:widowControl w:val="0"/>
        <w:autoSpaceDE w:val="0"/>
        <w:autoSpaceDN w:val="0"/>
        <w:adjustRightInd w:val="0"/>
        <w:spacing w:after="240"/>
        <w:rPr>
          <w:rFonts w:cs="Helvetica"/>
          <w:bCs/>
        </w:rPr>
      </w:pP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Pr="002A215F">
        <w:rPr>
          <w:rFonts w:cs="Helvetica"/>
          <w:bCs/>
        </w:rPr>
        <w:t>File: BEC</w:t>
      </w:r>
    </w:p>
    <w:p w14:paraId="4BA141F5" w14:textId="77777777" w:rsidR="002A215F" w:rsidRDefault="002A215F" w:rsidP="002A215F">
      <w:pPr>
        <w:widowControl w:val="0"/>
        <w:autoSpaceDE w:val="0"/>
        <w:autoSpaceDN w:val="0"/>
        <w:adjustRightInd w:val="0"/>
        <w:spacing w:after="240"/>
        <w:rPr>
          <w:rFonts w:cs="Helvetica"/>
          <w:b/>
          <w:bCs/>
        </w:rPr>
      </w:pPr>
    </w:p>
    <w:p w14:paraId="046C33FE" w14:textId="77777777" w:rsidR="002A215F" w:rsidRPr="002A215F" w:rsidRDefault="002A215F" w:rsidP="002A215F">
      <w:pPr>
        <w:widowControl w:val="0"/>
        <w:autoSpaceDE w:val="0"/>
        <w:autoSpaceDN w:val="0"/>
        <w:adjustRightInd w:val="0"/>
        <w:spacing w:after="240"/>
        <w:jc w:val="center"/>
        <w:rPr>
          <w:rFonts w:cs="Times"/>
        </w:rPr>
      </w:pPr>
      <w:r w:rsidRPr="002A215F">
        <w:rPr>
          <w:rFonts w:cs="Helvetica"/>
          <w:b/>
          <w:bCs/>
        </w:rPr>
        <w:t>Executive Sessions</w:t>
      </w:r>
    </w:p>
    <w:p w14:paraId="46133E89" w14:textId="77777777" w:rsidR="002A215F" w:rsidRPr="002A215F" w:rsidRDefault="002A215F" w:rsidP="002A215F">
      <w:pPr>
        <w:widowControl w:val="0"/>
        <w:autoSpaceDE w:val="0"/>
        <w:autoSpaceDN w:val="0"/>
        <w:adjustRightInd w:val="0"/>
        <w:spacing w:after="240"/>
        <w:rPr>
          <w:rFonts w:cs="Times"/>
        </w:rPr>
      </w:pPr>
      <w:r w:rsidRPr="002A215F">
        <w:rPr>
          <w:rFonts w:cs="Helvetica"/>
        </w:rPr>
        <w:t>All meetings of the Board shall be open to the public except that at any regular or special meeting the Board may proceed into executive session upon affirmative vote of two-thirds of the quorum present. However, the Board shall not convene in executive session if the meeting is being held through video teleconferencing.</w:t>
      </w:r>
    </w:p>
    <w:p w14:paraId="6B52EE80" w14:textId="77777777" w:rsidR="002A215F" w:rsidRPr="002A215F" w:rsidRDefault="002A215F" w:rsidP="002A215F">
      <w:pPr>
        <w:widowControl w:val="0"/>
        <w:autoSpaceDE w:val="0"/>
        <w:autoSpaceDN w:val="0"/>
        <w:adjustRightInd w:val="0"/>
        <w:spacing w:after="240"/>
        <w:rPr>
          <w:rFonts w:cs="Times"/>
        </w:rPr>
      </w:pPr>
      <w:r w:rsidRPr="002A215F">
        <w:rPr>
          <w:rFonts w:cs="Helvetica"/>
        </w:rPr>
        <w:t>The Board shall not make final policy decisions nor shall any resolution, policy or regulation be adopted or approved nor shall any formal action of any kind be taken during any executive session.</w:t>
      </w:r>
    </w:p>
    <w:p w14:paraId="67949172" w14:textId="77777777" w:rsidR="002A215F" w:rsidRPr="002A215F" w:rsidRDefault="002A215F" w:rsidP="002A215F">
      <w:pPr>
        <w:widowControl w:val="0"/>
        <w:autoSpaceDE w:val="0"/>
        <w:autoSpaceDN w:val="0"/>
        <w:adjustRightInd w:val="0"/>
        <w:spacing w:after="240"/>
        <w:rPr>
          <w:rFonts w:cs="Times"/>
        </w:rPr>
      </w:pPr>
      <w:r w:rsidRPr="002A215F">
        <w:rPr>
          <w:rFonts w:cs="Helvetica"/>
        </w:rPr>
        <w:t>Prior to convening in executive session, the Board shall announce the topic of the executive session which shall be reflected in the minutes. The Board shall include the specific citation to statute authorizing it to meet in executive session when it announces the session and identify the particular matter to be discussed in as much detail as possible without compromising the purpose for which the executive session is authorized.</w:t>
      </w:r>
    </w:p>
    <w:p w14:paraId="499CA073" w14:textId="77777777" w:rsidR="002A215F" w:rsidRPr="002A215F" w:rsidRDefault="002A215F" w:rsidP="002A215F">
      <w:pPr>
        <w:widowControl w:val="0"/>
        <w:autoSpaceDE w:val="0"/>
        <w:autoSpaceDN w:val="0"/>
        <w:adjustRightInd w:val="0"/>
        <w:spacing w:after="240"/>
        <w:rPr>
          <w:rFonts w:cs="Times"/>
        </w:rPr>
      </w:pPr>
      <w:r w:rsidRPr="002A215F">
        <w:rPr>
          <w:rFonts w:cs="Helvetica"/>
        </w:rPr>
        <w:t>The Board may hold an executive session for the sole purpose of considering any of the following matters:</w:t>
      </w:r>
    </w:p>
    <w:p w14:paraId="18C4340C" w14:textId="77777777" w:rsidR="002A215F" w:rsidRPr="002A215F" w:rsidRDefault="002A215F" w:rsidP="0062456F">
      <w:pPr>
        <w:widowControl w:val="0"/>
        <w:numPr>
          <w:ilvl w:val="0"/>
          <w:numId w:val="1"/>
        </w:numPr>
        <w:tabs>
          <w:tab w:val="left" w:pos="220"/>
          <w:tab w:val="left" w:pos="720"/>
        </w:tabs>
        <w:autoSpaceDE w:val="0"/>
        <w:autoSpaceDN w:val="0"/>
        <w:adjustRightInd w:val="0"/>
        <w:spacing w:after="320"/>
        <w:rPr>
          <w:rFonts w:cs="Helvetica"/>
        </w:rPr>
      </w:pPr>
      <w:r w:rsidRPr="002A215F">
        <w:rPr>
          <w:rFonts w:cs="Helvetica"/>
        </w:rPr>
        <w:t xml:space="preserve">Purchase, acquisition, lease, transfer or sale of any real, personal or other property. However, no executive session shall be held to conceal the fact that a member of the Board has a personal interest in such property transaction. C.R.S. 24-6-402 (4)(a). </w:t>
      </w:r>
    </w:p>
    <w:p w14:paraId="3A0D62C9" w14:textId="77777777" w:rsidR="002A215F" w:rsidRDefault="002A215F" w:rsidP="0062456F">
      <w:pPr>
        <w:pStyle w:val="ListParagraph"/>
        <w:widowControl w:val="0"/>
        <w:numPr>
          <w:ilvl w:val="0"/>
          <w:numId w:val="1"/>
        </w:numPr>
        <w:autoSpaceDE w:val="0"/>
        <w:autoSpaceDN w:val="0"/>
        <w:adjustRightInd w:val="0"/>
        <w:rPr>
          <w:rFonts w:ascii="Times New Roman" w:hAnsi="Times New Roman" w:cs="Times New Roman"/>
        </w:rPr>
      </w:pPr>
      <w:r w:rsidRPr="0062456F">
        <w:rPr>
          <w:rFonts w:cs="Helvetica"/>
        </w:rPr>
        <w:t xml:space="preserve">Conferences with an attorney for the purpose of receiving legal advice on specific legal questions. C.R.S. 24-6-402 (4)(b). The mere presence or </w:t>
      </w:r>
      <w:r w:rsidR="0062456F" w:rsidRPr="0062456F">
        <w:rPr>
          <w:rFonts w:ascii="Times New Roman" w:hAnsi="Times New Roman" w:cs="Times New Roman"/>
        </w:rPr>
        <w:t>participation of an attorney at an executive session shall not be sufficient satisfy this requirement.</w:t>
      </w:r>
    </w:p>
    <w:p w14:paraId="2E939C3A" w14:textId="77777777" w:rsidR="0062456F" w:rsidRPr="0062456F" w:rsidRDefault="0062456F" w:rsidP="0062456F">
      <w:pPr>
        <w:widowControl w:val="0"/>
        <w:autoSpaceDE w:val="0"/>
        <w:autoSpaceDN w:val="0"/>
        <w:adjustRightInd w:val="0"/>
        <w:ind w:left="360"/>
        <w:rPr>
          <w:rFonts w:ascii="Times New Roman" w:hAnsi="Times New Roman" w:cs="Times New Roman"/>
        </w:rPr>
      </w:pPr>
    </w:p>
    <w:p w14:paraId="6FDD236D" w14:textId="77777777" w:rsidR="002A215F" w:rsidRPr="002A215F" w:rsidRDefault="002A215F" w:rsidP="0062456F">
      <w:pPr>
        <w:widowControl w:val="0"/>
        <w:numPr>
          <w:ilvl w:val="0"/>
          <w:numId w:val="1"/>
        </w:numPr>
        <w:tabs>
          <w:tab w:val="left" w:pos="220"/>
          <w:tab w:val="left" w:pos="720"/>
        </w:tabs>
        <w:autoSpaceDE w:val="0"/>
        <w:autoSpaceDN w:val="0"/>
        <w:adjustRightInd w:val="0"/>
        <w:spacing w:after="320"/>
        <w:rPr>
          <w:rFonts w:cs="Helvetica"/>
        </w:rPr>
      </w:pPr>
      <w:r w:rsidRPr="002A215F">
        <w:rPr>
          <w:rFonts w:cs="Helvetica"/>
        </w:rPr>
        <w:t xml:space="preserve">Matters required to be kept confidential by federal or state law or regulations. C.R.S. 24-6-402 (4)(c). An announcement will be made indicating the specific citation to state or federal law which is the reason the matter must remain confidential. </w:t>
      </w:r>
    </w:p>
    <w:p w14:paraId="11A4FBF2" w14:textId="77777777" w:rsidR="002A215F" w:rsidRPr="002A215F" w:rsidRDefault="002A215F" w:rsidP="0062456F">
      <w:pPr>
        <w:widowControl w:val="0"/>
        <w:numPr>
          <w:ilvl w:val="0"/>
          <w:numId w:val="1"/>
        </w:numPr>
        <w:tabs>
          <w:tab w:val="left" w:pos="220"/>
          <w:tab w:val="left" w:pos="720"/>
        </w:tabs>
        <w:autoSpaceDE w:val="0"/>
        <w:autoSpaceDN w:val="0"/>
        <w:adjustRightInd w:val="0"/>
        <w:spacing w:after="320"/>
        <w:rPr>
          <w:rFonts w:cs="Helvetica"/>
        </w:rPr>
      </w:pPr>
      <w:r w:rsidRPr="002A215F">
        <w:rPr>
          <w:rFonts w:cs="Helvetica"/>
        </w:rPr>
        <w:t xml:space="preserve">Specialized details of security arrangements or investigations. C.R.S. 24-6-402 (4)(d). </w:t>
      </w:r>
    </w:p>
    <w:p w14:paraId="01622366" w14:textId="71C45B58" w:rsidR="002A215F" w:rsidRPr="002A215F" w:rsidRDefault="002A215F" w:rsidP="0062456F">
      <w:pPr>
        <w:widowControl w:val="0"/>
        <w:numPr>
          <w:ilvl w:val="0"/>
          <w:numId w:val="1"/>
        </w:numPr>
        <w:tabs>
          <w:tab w:val="left" w:pos="220"/>
          <w:tab w:val="left" w:pos="720"/>
        </w:tabs>
        <w:autoSpaceDE w:val="0"/>
        <w:autoSpaceDN w:val="0"/>
        <w:adjustRightInd w:val="0"/>
        <w:spacing w:after="320"/>
        <w:rPr>
          <w:rFonts w:cs="Helvetica"/>
        </w:rPr>
      </w:pPr>
      <w:r w:rsidRPr="002A215F">
        <w:rPr>
          <w:rFonts w:cs="Helvetica"/>
        </w:rPr>
        <w:t>Determination of positions relative to matters that may be subject to negotiations, development of strategy for negotiations</w:t>
      </w:r>
      <w:r w:rsidR="00AF31EF" w:rsidRPr="00B733CA">
        <w:rPr>
          <w:rFonts w:cs="Helvetica"/>
        </w:rPr>
        <w:t>, including strategy for negotiations relating to collective bargaining or employment contracts,</w:t>
      </w:r>
      <w:r w:rsidRPr="002A215F">
        <w:rPr>
          <w:rFonts w:cs="Helvetica"/>
        </w:rPr>
        <w:t xml:space="preserve"> and </w:t>
      </w:r>
      <w:r w:rsidRPr="002A215F">
        <w:rPr>
          <w:rFonts w:cs="Helvetica"/>
        </w:rPr>
        <w:lastRenderedPageBreak/>
        <w:t xml:space="preserve">instruction of negotiators. </w:t>
      </w:r>
      <w:r w:rsidR="00AF31EF" w:rsidRPr="00B733CA">
        <w:rPr>
          <w:rFonts w:cs="Helvetica"/>
        </w:rPr>
        <w:t>Discussion of negotiations relating to collective bargaining or employment contracts shall occur in a public meeting, unless an executive session is otherwise allowed.</w:t>
      </w:r>
      <w:r w:rsidR="00AF31EF">
        <w:rPr>
          <w:rFonts w:cs="Helvetica"/>
        </w:rPr>
        <w:t xml:space="preserve"> </w:t>
      </w:r>
      <w:r w:rsidRPr="002A215F">
        <w:rPr>
          <w:rFonts w:cs="Helvetica"/>
        </w:rPr>
        <w:t xml:space="preserve">C.R.S. 24-6-402 (4)(e). </w:t>
      </w:r>
    </w:p>
    <w:p w14:paraId="2CF4A12D" w14:textId="77777777" w:rsidR="0062456F" w:rsidRDefault="002A215F" w:rsidP="0062456F">
      <w:pPr>
        <w:pStyle w:val="ListParagraph"/>
        <w:widowControl w:val="0"/>
        <w:numPr>
          <w:ilvl w:val="0"/>
          <w:numId w:val="1"/>
        </w:numPr>
        <w:tabs>
          <w:tab w:val="left" w:pos="220"/>
          <w:tab w:val="left" w:pos="720"/>
        </w:tabs>
        <w:autoSpaceDE w:val="0"/>
        <w:autoSpaceDN w:val="0"/>
        <w:adjustRightInd w:val="0"/>
        <w:rPr>
          <w:rFonts w:cs="Helvetica"/>
        </w:rPr>
      </w:pPr>
      <w:r w:rsidRPr="0062456F">
        <w:rPr>
          <w:rFonts w:cs="Helvetica"/>
        </w:rPr>
        <w:t xml:space="preserve">Personnel matters except if an employee who is the subject of an executive session requests an open meeting. C.R.S. 24-6-402 (4)(f). If the personnel matter involves more than one employee, all of the employees must request an open meeting. Discussion of personnel policies that do not require discussion of matters specific to particular employees are not considered “personnel matters.” Discussions concerning a member of the Board, any elected official or the appointment of a Board member are not considered “personnel matters.” </w:t>
      </w:r>
    </w:p>
    <w:p w14:paraId="14F12D44" w14:textId="15E2CFAD" w:rsidR="00AF31EF" w:rsidRDefault="00AF31EF" w:rsidP="00AF31EF">
      <w:pPr>
        <w:widowControl w:val="0"/>
        <w:tabs>
          <w:tab w:val="left" w:pos="220"/>
          <w:tab w:val="left" w:pos="720"/>
        </w:tabs>
        <w:autoSpaceDE w:val="0"/>
        <w:autoSpaceDN w:val="0"/>
        <w:adjustRightInd w:val="0"/>
        <w:ind w:left="360"/>
        <w:rPr>
          <w:rFonts w:cs="Helvetica"/>
        </w:rPr>
      </w:pPr>
      <w:r>
        <w:rPr>
          <w:rFonts w:cs="Helvetica"/>
        </w:rPr>
        <w:tab/>
      </w:r>
    </w:p>
    <w:p w14:paraId="2278F885" w14:textId="53247BF5" w:rsidR="00AF31EF" w:rsidRPr="00B733CA" w:rsidRDefault="00AF31EF" w:rsidP="00AF31EF">
      <w:pPr>
        <w:widowControl w:val="0"/>
        <w:tabs>
          <w:tab w:val="left" w:pos="220"/>
          <w:tab w:val="left" w:pos="720"/>
        </w:tabs>
        <w:autoSpaceDE w:val="0"/>
        <w:autoSpaceDN w:val="0"/>
        <w:adjustRightInd w:val="0"/>
        <w:ind w:left="360"/>
        <w:rPr>
          <w:rFonts w:cs="Helvetica"/>
        </w:rPr>
      </w:pPr>
      <w:r>
        <w:rPr>
          <w:rFonts w:cs="Helvetica"/>
        </w:rPr>
        <w:tab/>
      </w:r>
      <w:r w:rsidRPr="00B733CA">
        <w:rPr>
          <w:rFonts w:cs="Helvetica"/>
        </w:rPr>
        <w:t xml:space="preserve">The Teacher Employment, Compensation and Dismissal Act shall prevail in </w:t>
      </w:r>
      <w:r w:rsidRPr="00B733CA">
        <w:rPr>
          <w:rFonts w:cs="Helvetica"/>
        </w:rPr>
        <w:tab/>
        <w:t xml:space="preserve">teacher dismissal hearings. (It provided that a dismissal hearing shall be </w:t>
      </w:r>
      <w:r w:rsidRPr="00B733CA">
        <w:rPr>
          <w:rFonts w:cs="Helvetica"/>
        </w:rPr>
        <w:tab/>
        <w:t xml:space="preserve">open unless either the administration or employee requests that the hearing </w:t>
      </w:r>
      <w:r w:rsidRPr="00B733CA">
        <w:rPr>
          <w:rFonts w:cs="Helvetica"/>
        </w:rPr>
        <w:tab/>
        <w:t>be closed.)</w:t>
      </w:r>
    </w:p>
    <w:p w14:paraId="08515A9F" w14:textId="23460D59" w:rsidR="00AF31EF" w:rsidRPr="00B733CA" w:rsidRDefault="00AF31EF" w:rsidP="00AF31EF">
      <w:pPr>
        <w:widowControl w:val="0"/>
        <w:tabs>
          <w:tab w:val="left" w:pos="220"/>
          <w:tab w:val="left" w:pos="720"/>
        </w:tabs>
        <w:autoSpaceDE w:val="0"/>
        <w:autoSpaceDN w:val="0"/>
        <w:adjustRightInd w:val="0"/>
        <w:ind w:left="360"/>
        <w:rPr>
          <w:rFonts w:cs="Helvetica"/>
        </w:rPr>
      </w:pPr>
      <w:r w:rsidRPr="00B733CA">
        <w:rPr>
          <w:rFonts w:cs="Helvetica"/>
        </w:rPr>
        <w:tab/>
      </w:r>
    </w:p>
    <w:p w14:paraId="340E4A52" w14:textId="2A8635E6" w:rsidR="00AF31EF" w:rsidRPr="00B733CA" w:rsidRDefault="00AF31EF" w:rsidP="00AF31EF">
      <w:pPr>
        <w:widowControl w:val="0"/>
        <w:tabs>
          <w:tab w:val="left" w:pos="220"/>
          <w:tab w:val="left" w:pos="720"/>
        </w:tabs>
        <w:autoSpaceDE w:val="0"/>
        <w:autoSpaceDN w:val="0"/>
        <w:adjustRightInd w:val="0"/>
        <w:ind w:left="360"/>
        <w:rPr>
          <w:rFonts w:cs="Helvetica"/>
        </w:rPr>
      </w:pPr>
      <w:r w:rsidRPr="00B733CA">
        <w:rPr>
          <w:rFonts w:cs="Helvetica"/>
        </w:rPr>
        <w:tab/>
        <w:t xml:space="preserve">Discussion concerning a member of the Board, any elected official or the </w:t>
      </w:r>
      <w:r w:rsidRPr="00B733CA">
        <w:rPr>
          <w:rFonts w:cs="Helvetica"/>
        </w:rPr>
        <w:tab/>
        <w:t>appointment of a Board member are not considered “personnel matters.”</w:t>
      </w:r>
    </w:p>
    <w:p w14:paraId="3FD7F9C4" w14:textId="77777777" w:rsidR="0062456F" w:rsidRPr="00AF31EF" w:rsidRDefault="0062456F" w:rsidP="0062456F">
      <w:pPr>
        <w:widowControl w:val="0"/>
        <w:tabs>
          <w:tab w:val="left" w:pos="220"/>
          <w:tab w:val="left" w:pos="720"/>
        </w:tabs>
        <w:autoSpaceDE w:val="0"/>
        <w:autoSpaceDN w:val="0"/>
        <w:adjustRightInd w:val="0"/>
        <w:ind w:left="360"/>
        <w:rPr>
          <w:rFonts w:cs="Helvetica"/>
          <w:u w:val="single"/>
        </w:rPr>
      </w:pPr>
    </w:p>
    <w:p w14:paraId="5B959EF1" w14:textId="77777777" w:rsidR="002A215F" w:rsidRDefault="002A215F" w:rsidP="0062456F">
      <w:pPr>
        <w:pStyle w:val="ListParagraph"/>
        <w:widowControl w:val="0"/>
        <w:numPr>
          <w:ilvl w:val="0"/>
          <w:numId w:val="1"/>
        </w:numPr>
        <w:tabs>
          <w:tab w:val="left" w:pos="220"/>
          <w:tab w:val="left" w:pos="720"/>
        </w:tabs>
        <w:autoSpaceDE w:val="0"/>
        <w:autoSpaceDN w:val="0"/>
        <w:adjustRightInd w:val="0"/>
        <w:rPr>
          <w:rFonts w:cs="Helvetica"/>
        </w:rPr>
      </w:pPr>
      <w:r w:rsidRPr="0062456F">
        <w:rPr>
          <w:rFonts w:cs="Helvetica"/>
        </w:rPr>
        <w:t xml:space="preserve">Consideration of any documents protected under the mandatory nondisclosure provision of the Open Records Act, except that consideration of work product documents and documents subject to the governmental or deliberative process privilege must occur in a public meeting, unless an executive session is otherwise allowed. C.R.S. 24-6-402 (4)(g). </w:t>
      </w:r>
    </w:p>
    <w:p w14:paraId="15FF77B1" w14:textId="77777777" w:rsidR="0062456F" w:rsidRPr="0062456F" w:rsidRDefault="0062456F" w:rsidP="0062456F">
      <w:pPr>
        <w:widowControl w:val="0"/>
        <w:tabs>
          <w:tab w:val="left" w:pos="220"/>
          <w:tab w:val="left" w:pos="720"/>
        </w:tabs>
        <w:autoSpaceDE w:val="0"/>
        <w:autoSpaceDN w:val="0"/>
        <w:adjustRightInd w:val="0"/>
        <w:rPr>
          <w:rFonts w:cs="Helvetica"/>
        </w:rPr>
      </w:pPr>
    </w:p>
    <w:p w14:paraId="049F899C" w14:textId="77777777" w:rsidR="002A215F" w:rsidRPr="0062456F" w:rsidRDefault="002A215F" w:rsidP="0062456F">
      <w:pPr>
        <w:pStyle w:val="ListParagraph"/>
        <w:widowControl w:val="0"/>
        <w:numPr>
          <w:ilvl w:val="0"/>
          <w:numId w:val="1"/>
        </w:numPr>
        <w:tabs>
          <w:tab w:val="left" w:pos="220"/>
          <w:tab w:val="left" w:pos="720"/>
        </w:tabs>
        <w:autoSpaceDE w:val="0"/>
        <w:autoSpaceDN w:val="0"/>
        <w:adjustRightInd w:val="0"/>
        <w:rPr>
          <w:rFonts w:cs="Helvetica"/>
        </w:rPr>
      </w:pPr>
      <w:r w:rsidRPr="0062456F">
        <w:rPr>
          <w:rFonts w:cs="Helvetica"/>
        </w:rPr>
        <w:t xml:space="preserve">Discussion of individual students where public disclosure would adversely affect the person or persons involved. C.R.S. 24-6-402 (4)(h). </w:t>
      </w:r>
    </w:p>
    <w:p w14:paraId="776EE402" w14:textId="77777777" w:rsidR="0062456F" w:rsidRDefault="0062456F" w:rsidP="002A215F">
      <w:pPr>
        <w:widowControl w:val="0"/>
        <w:autoSpaceDE w:val="0"/>
        <w:autoSpaceDN w:val="0"/>
        <w:adjustRightInd w:val="0"/>
        <w:spacing w:after="240"/>
        <w:rPr>
          <w:rFonts w:cs="Helvetica"/>
        </w:rPr>
      </w:pPr>
    </w:p>
    <w:p w14:paraId="742E25B9" w14:textId="77777777" w:rsidR="002A215F" w:rsidRPr="002A215F" w:rsidRDefault="002A215F" w:rsidP="002A215F">
      <w:pPr>
        <w:widowControl w:val="0"/>
        <w:autoSpaceDE w:val="0"/>
        <w:autoSpaceDN w:val="0"/>
        <w:adjustRightInd w:val="0"/>
        <w:spacing w:after="240"/>
        <w:rPr>
          <w:rFonts w:cs="Times"/>
        </w:rPr>
      </w:pPr>
      <w:r w:rsidRPr="002A215F">
        <w:rPr>
          <w:rFonts w:cs="Helvetica"/>
        </w:rPr>
        <w:t>Only those persons invited by the Board may be present during any executive session regardless of the topic of the session (including personnel matters).</w:t>
      </w:r>
    </w:p>
    <w:p w14:paraId="296A13EF" w14:textId="77777777" w:rsidR="002A215F" w:rsidRDefault="002A215F" w:rsidP="002A215F">
      <w:pPr>
        <w:widowControl w:val="0"/>
        <w:autoSpaceDE w:val="0"/>
        <w:autoSpaceDN w:val="0"/>
        <w:adjustRightInd w:val="0"/>
        <w:spacing w:after="240"/>
        <w:rPr>
          <w:rFonts w:cs="Helvetica"/>
        </w:rPr>
      </w:pPr>
      <w:r w:rsidRPr="002A215F">
        <w:rPr>
          <w:rFonts w:cs="Helvetica"/>
        </w:rPr>
        <w:t>The Board shall cause an electronic recording to be made of the executive session in accordance with applicable law. Such record shall be retained by the Board for 90 days following the session.</w:t>
      </w:r>
    </w:p>
    <w:p w14:paraId="658B76B0" w14:textId="611156FA" w:rsidR="0061775C" w:rsidRDefault="0061775C" w:rsidP="00691B48">
      <w:pPr>
        <w:widowControl w:val="0"/>
        <w:autoSpaceDE w:val="0"/>
        <w:autoSpaceDN w:val="0"/>
        <w:adjustRightInd w:val="0"/>
        <w:rPr>
          <w:rFonts w:cs="Helvetica"/>
        </w:rPr>
      </w:pPr>
      <w:r>
        <w:rPr>
          <w:rFonts w:cs="Helvetica"/>
        </w:rPr>
        <w:t>Adopted: March 18, 2015</w:t>
      </w:r>
    </w:p>
    <w:p w14:paraId="71429E51" w14:textId="31D83A1F" w:rsidR="00691B48" w:rsidRPr="002A215F" w:rsidRDefault="00691B48" w:rsidP="00691B48">
      <w:pPr>
        <w:widowControl w:val="0"/>
        <w:autoSpaceDE w:val="0"/>
        <w:autoSpaceDN w:val="0"/>
        <w:adjustRightInd w:val="0"/>
        <w:rPr>
          <w:rFonts w:cs="Times"/>
        </w:rPr>
      </w:pPr>
      <w:r>
        <w:rPr>
          <w:rFonts w:cs="Helvetica"/>
        </w:rPr>
        <w:t>Revised: May 27, 2020</w:t>
      </w:r>
    </w:p>
    <w:p w14:paraId="690788F7" w14:textId="77777777" w:rsidR="00691B48" w:rsidRDefault="00691B48" w:rsidP="002A215F">
      <w:pPr>
        <w:widowControl w:val="0"/>
        <w:autoSpaceDE w:val="0"/>
        <w:autoSpaceDN w:val="0"/>
        <w:adjustRightInd w:val="0"/>
        <w:rPr>
          <w:rFonts w:cs="Helvetica"/>
        </w:rPr>
      </w:pPr>
    </w:p>
    <w:p w14:paraId="07C584B7" w14:textId="0351827C" w:rsidR="002A215F" w:rsidRPr="00B733CA" w:rsidRDefault="002A215F" w:rsidP="002A215F">
      <w:pPr>
        <w:widowControl w:val="0"/>
        <w:autoSpaceDE w:val="0"/>
        <w:autoSpaceDN w:val="0"/>
        <w:adjustRightInd w:val="0"/>
        <w:rPr>
          <w:rFonts w:cs="Helvetica"/>
          <w:i/>
          <w:iCs/>
          <w:strike/>
        </w:rPr>
      </w:pPr>
      <w:r w:rsidRPr="002A215F">
        <w:rPr>
          <w:rFonts w:cs="Helvetica"/>
        </w:rPr>
        <w:t xml:space="preserve">LEGAL REFS.: </w:t>
      </w:r>
      <w:r w:rsidR="00B733CA" w:rsidRPr="00B733CA">
        <w:rPr>
          <w:rFonts w:cs="Helvetica"/>
          <w:i/>
          <w:iCs/>
        </w:rPr>
        <w:tab/>
      </w:r>
      <w:r w:rsidRPr="002A215F">
        <w:rPr>
          <w:rFonts w:cs="Helvetica"/>
        </w:rPr>
        <w:t xml:space="preserve">C.R.S. 22-32-108 (5) </w:t>
      </w:r>
      <w:r w:rsidRPr="002A215F">
        <w:rPr>
          <w:rFonts w:cs="Helvetica"/>
          <w:i/>
          <w:iCs/>
        </w:rPr>
        <w:t xml:space="preserve">(meetings of the board) </w:t>
      </w:r>
    </w:p>
    <w:p w14:paraId="17F8F640" w14:textId="4BE11E13" w:rsidR="00AF31EF" w:rsidRPr="00B733CA" w:rsidRDefault="00AF31EF" w:rsidP="002A215F">
      <w:pPr>
        <w:widowControl w:val="0"/>
        <w:autoSpaceDE w:val="0"/>
        <w:autoSpaceDN w:val="0"/>
        <w:adjustRightInd w:val="0"/>
        <w:rPr>
          <w:rFonts w:cs="Helvetica"/>
          <w:iCs/>
        </w:rPr>
      </w:pPr>
      <w:r>
        <w:rPr>
          <w:rFonts w:cs="Helvetica"/>
          <w:i/>
          <w:iCs/>
        </w:rPr>
        <w:tab/>
      </w:r>
      <w:r>
        <w:rPr>
          <w:rFonts w:cs="Helvetica"/>
          <w:i/>
          <w:iCs/>
        </w:rPr>
        <w:tab/>
      </w:r>
      <w:r>
        <w:rPr>
          <w:rFonts w:cs="Helvetica"/>
          <w:i/>
          <w:iCs/>
        </w:rPr>
        <w:tab/>
      </w:r>
      <w:r w:rsidRPr="00B733CA">
        <w:rPr>
          <w:rFonts w:cs="Helvetica"/>
          <w:iCs/>
        </w:rPr>
        <w:t>C.R.S. 22-32-108 (5)(d) (</w:t>
      </w:r>
      <w:r w:rsidRPr="00B733CA">
        <w:rPr>
          <w:rFonts w:cs="Helvetica"/>
          <w:i/>
          <w:iCs/>
        </w:rPr>
        <w:t>executive session minutes</w:t>
      </w:r>
      <w:r w:rsidRPr="00B733CA">
        <w:rPr>
          <w:rFonts w:cs="Helvetica"/>
          <w:iCs/>
        </w:rPr>
        <w:t>)</w:t>
      </w:r>
    </w:p>
    <w:p w14:paraId="76D5F5B9" w14:textId="63B89FAF" w:rsidR="00AF31EF" w:rsidRPr="00B733CA" w:rsidRDefault="00AF31EF" w:rsidP="002A215F">
      <w:pPr>
        <w:widowControl w:val="0"/>
        <w:autoSpaceDE w:val="0"/>
        <w:autoSpaceDN w:val="0"/>
        <w:adjustRightInd w:val="0"/>
        <w:rPr>
          <w:rFonts w:cs="Helvetica"/>
          <w:i/>
          <w:iCs/>
        </w:rPr>
      </w:pPr>
      <w:r w:rsidRPr="00B733CA">
        <w:rPr>
          <w:rFonts w:cs="Helvetica"/>
          <w:iCs/>
        </w:rPr>
        <w:tab/>
      </w:r>
      <w:r w:rsidRPr="00B733CA">
        <w:rPr>
          <w:rFonts w:cs="Helvetica"/>
          <w:iCs/>
        </w:rPr>
        <w:tab/>
      </w:r>
      <w:r w:rsidRPr="00B733CA">
        <w:rPr>
          <w:rFonts w:cs="Helvetica"/>
          <w:iCs/>
        </w:rPr>
        <w:tab/>
        <w:t>C.R.S</w:t>
      </w:r>
      <w:r w:rsidR="00691B48">
        <w:rPr>
          <w:rFonts w:cs="Helvetica"/>
          <w:iCs/>
        </w:rPr>
        <w:t>.</w:t>
      </w:r>
      <w:r w:rsidRPr="00B733CA">
        <w:rPr>
          <w:rFonts w:cs="Helvetica"/>
          <w:iCs/>
        </w:rPr>
        <w:t xml:space="preserve"> 22-32-109.4 (4) (</w:t>
      </w:r>
      <w:r w:rsidRPr="00B733CA">
        <w:rPr>
          <w:rFonts w:cs="Helvetica"/>
          <w:i/>
          <w:iCs/>
        </w:rPr>
        <w:t xml:space="preserve">Board Meeting “at which a collective </w:t>
      </w:r>
      <w:r w:rsidRPr="00B733CA">
        <w:rPr>
          <w:rFonts w:cs="Helvetica"/>
          <w:i/>
          <w:iCs/>
        </w:rPr>
        <w:tab/>
      </w:r>
      <w:r w:rsidRPr="00B733CA">
        <w:rPr>
          <w:rFonts w:cs="Helvetica"/>
          <w:i/>
          <w:iCs/>
        </w:rPr>
        <w:tab/>
      </w:r>
      <w:r w:rsidRPr="00B733CA">
        <w:rPr>
          <w:rFonts w:cs="Helvetica"/>
          <w:i/>
          <w:iCs/>
        </w:rPr>
        <w:tab/>
      </w:r>
      <w:r w:rsidRPr="00B733CA">
        <w:rPr>
          <w:rFonts w:cs="Helvetica"/>
          <w:i/>
          <w:iCs/>
        </w:rPr>
        <w:tab/>
        <w:t xml:space="preserve">bargaining agreement is discussed” must be open to the </w:t>
      </w:r>
      <w:r w:rsidRPr="00B733CA">
        <w:rPr>
          <w:rFonts w:cs="Helvetica"/>
          <w:i/>
          <w:iCs/>
        </w:rPr>
        <w:tab/>
      </w:r>
      <w:r w:rsidRPr="00B733CA">
        <w:rPr>
          <w:rFonts w:cs="Helvetica"/>
          <w:i/>
          <w:iCs/>
        </w:rPr>
        <w:tab/>
      </w:r>
      <w:r w:rsidRPr="00B733CA">
        <w:rPr>
          <w:rFonts w:cs="Helvetica"/>
          <w:i/>
          <w:iCs/>
        </w:rPr>
        <w:tab/>
      </w:r>
      <w:r w:rsidRPr="00B733CA">
        <w:rPr>
          <w:rFonts w:cs="Helvetica"/>
          <w:i/>
          <w:iCs/>
        </w:rPr>
        <w:tab/>
      </w:r>
      <w:r w:rsidRPr="00B733CA">
        <w:rPr>
          <w:rFonts w:cs="Helvetica"/>
          <w:i/>
          <w:iCs/>
        </w:rPr>
        <w:tab/>
        <w:t>public)</w:t>
      </w:r>
    </w:p>
    <w:p w14:paraId="3F811AED" w14:textId="77777777" w:rsidR="002A215F" w:rsidRPr="002A215F" w:rsidRDefault="002A215F" w:rsidP="002A215F">
      <w:pPr>
        <w:widowControl w:val="0"/>
        <w:autoSpaceDE w:val="0"/>
        <w:autoSpaceDN w:val="0"/>
        <w:adjustRightInd w:val="0"/>
        <w:rPr>
          <w:rFonts w:cs="Times"/>
        </w:rPr>
      </w:pPr>
      <w:r>
        <w:rPr>
          <w:rFonts w:cs="Helvetica"/>
          <w:i/>
          <w:iCs/>
        </w:rPr>
        <w:lastRenderedPageBreak/>
        <w:tab/>
      </w:r>
      <w:r>
        <w:rPr>
          <w:rFonts w:cs="Helvetica"/>
          <w:i/>
          <w:iCs/>
        </w:rPr>
        <w:tab/>
      </w:r>
      <w:r>
        <w:rPr>
          <w:rFonts w:cs="Helvetica"/>
          <w:i/>
          <w:iCs/>
        </w:rPr>
        <w:tab/>
      </w:r>
      <w:r w:rsidRPr="002A215F">
        <w:rPr>
          <w:rFonts w:cs="Helvetica"/>
        </w:rPr>
        <w:t xml:space="preserve">C.R.S. 24-6-402 </w:t>
      </w:r>
      <w:r w:rsidRPr="002A215F">
        <w:rPr>
          <w:rFonts w:cs="Helvetica"/>
          <w:i/>
          <w:iCs/>
        </w:rPr>
        <w:t>(open meetings law)</w:t>
      </w:r>
    </w:p>
    <w:p w14:paraId="56F2C3A6" w14:textId="77777777" w:rsidR="002A215F" w:rsidRDefault="002A215F" w:rsidP="002A215F">
      <w:pPr>
        <w:widowControl w:val="0"/>
        <w:autoSpaceDE w:val="0"/>
        <w:autoSpaceDN w:val="0"/>
        <w:adjustRightInd w:val="0"/>
        <w:spacing w:after="240"/>
        <w:rPr>
          <w:rFonts w:cs="Helvetica"/>
        </w:rPr>
      </w:pPr>
    </w:p>
    <w:p w14:paraId="39B4513A" w14:textId="01751C1B" w:rsidR="00AF31EF" w:rsidRDefault="002A215F" w:rsidP="00AF31EF">
      <w:pPr>
        <w:widowControl w:val="0"/>
        <w:autoSpaceDE w:val="0"/>
        <w:autoSpaceDN w:val="0"/>
        <w:adjustRightInd w:val="0"/>
        <w:rPr>
          <w:rFonts w:cs="Helvetica"/>
        </w:rPr>
      </w:pPr>
      <w:r w:rsidRPr="002A215F">
        <w:rPr>
          <w:rFonts w:cs="Helvetica"/>
        </w:rPr>
        <w:t xml:space="preserve">CROSS REF.: </w:t>
      </w:r>
      <w:r>
        <w:rPr>
          <w:rFonts w:cs="Helvetica"/>
        </w:rPr>
        <w:tab/>
      </w:r>
      <w:r w:rsidR="00AF31EF">
        <w:rPr>
          <w:rFonts w:cs="Helvetica"/>
        </w:rPr>
        <w:tab/>
      </w:r>
      <w:r w:rsidR="00AF31EF" w:rsidRPr="00B733CA">
        <w:rPr>
          <w:rFonts w:cs="Helvetica"/>
        </w:rPr>
        <w:t>BEDG, Minutes</w:t>
      </w:r>
      <w:r w:rsidRPr="00B733CA">
        <w:rPr>
          <w:rFonts w:cs="Helvetica"/>
        </w:rPr>
        <w:tab/>
      </w:r>
    </w:p>
    <w:p w14:paraId="3A489112" w14:textId="04C3E9DD" w:rsidR="002A215F" w:rsidRPr="002A215F" w:rsidRDefault="00AF31EF" w:rsidP="00AF31EF">
      <w:pPr>
        <w:widowControl w:val="0"/>
        <w:autoSpaceDE w:val="0"/>
        <w:autoSpaceDN w:val="0"/>
        <w:adjustRightInd w:val="0"/>
        <w:rPr>
          <w:rFonts w:cs="Times"/>
        </w:rPr>
      </w:pPr>
      <w:r>
        <w:rPr>
          <w:rFonts w:cs="Helvetica"/>
        </w:rPr>
        <w:tab/>
      </w:r>
      <w:r>
        <w:rPr>
          <w:rFonts w:cs="Helvetica"/>
        </w:rPr>
        <w:tab/>
      </w:r>
      <w:r>
        <w:rPr>
          <w:rFonts w:cs="Helvetica"/>
        </w:rPr>
        <w:tab/>
      </w:r>
      <w:r w:rsidR="002A215F" w:rsidRPr="002A215F">
        <w:rPr>
          <w:rFonts w:cs="Helvetica"/>
        </w:rPr>
        <w:t>KDB, Public’s Right to Know/Freedom of Information</w:t>
      </w:r>
    </w:p>
    <w:p w14:paraId="0CF22A3F" w14:textId="77777777" w:rsidR="003063AA" w:rsidRPr="002A215F" w:rsidRDefault="003063AA" w:rsidP="00AF31EF"/>
    <w:sectPr w:rsidR="003063AA" w:rsidRPr="002A215F" w:rsidSect="00C030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C96603D2"/>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15F"/>
    <w:rsid w:val="002A215F"/>
    <w:rsid w:val="003063AA"/>
    <w:rsid w:val="0061775C"/>
    <w:rsid w:val="0062456F"/>
    <w:rsid w:val="00691B48"/>
    <w:rsid w:val="00AF31EF"/>
    <w:rsid w:val="00B733CA"/>
    <w:rsid w:val="00EF0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2FA920"/>
  <w14:defaultImageDpi w14:val="300"/>
  <w15:docId w15:val="{74195112-9AE2-7946-B3B5-01ABA195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1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15F"/>
    <w:rPr>
      <w:rFonts w:ascii="Lucida Grande" w:hAnsi="Lucida Grande" w:cs="Lucida Grande"/>
      <w:sz w:val="18"/>
      <w:szCs w:val="18"/>
    </w:rPr>
  </w:style>
  <w:style w:type="paragraph" w:styleId="ListParagraph">
    <w:name w:val="List Paragraph"/>
    <w:basedOn w:val="Normal"/>
    <w:uiPriority w:val="34"/>
    <w:qFormat/>
    <w:rsid w:val="00624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681</Words>
  <Characters>3888</Characters>
  <Application>Microsoft Office Word</Application>
  <DocSecurity>0</DocSecurity>
  <Lines>32</Lines>
  <Paragraphs>9</Paragraphs>
  <ScaleCrop>false</ScaleCrop>
  <Company>San Luis Valley BOCES</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5</cp:revision>
  <dcterms:created xsi:type="dcterms:W3CDTF">2019-12-15T20:01:00Z</dcterms:created>
  <dcterms:modified xsi:type="dcterms:W3CDTF">2020-05-28T21:19:00Z</dcterms:modified>
</cp:coreProperties>
</file>