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0E2B3" w14:textId="77777777" w:rsidR="00014B5F" w:rsidRPr="00014B5F" w:rsidRDefault="00014B5F" w:rsidP="00014B5F">
      <w:pPr>
        <w:widowControl w:val="0"/>
        <w:autoSpaceDE w:val="0"/>
        <w:autoSpaceDN w:val="0"/>
        <w:adjustRightInd w:val="0"/>
        <w:spacing w:after="240"/>
        <w:rPr>
          <w:rFonts w:cs="Helvetica"/>
          <w:bCs/>
        </w:rPr>
      </w:pP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sidRPr="00014B5F">
        <w:rPr>
          <w:rFonts w:cs="Helvetica"/>
          <w:bCs/>
        </w:rPr>
        <w:t>File: BID/BIE</w:t>
      </w:r>
    </w:p>
    <w:p w14:paraId="6BC5EE34" w14:textId="77777777" w:rsidR="00014B5F" w:rsidRPr="00014B5F" w:rsidRDefault="00014B5F" w:rsidP="00014B5F">
      <w:pPr>
        <w:widowControl w:val="0"/>
        <w:autoSpaceDE w:val="0"/>
        <w:autoSpaceDN w:val="0"/>
        <w:adjustRightInd w:val="0"/>
        <w:spacing w:after="240"/>
        <w:jc w:val="center"/>
        <w:rPr>
          <w:rFonts w:cs="Times"/>
        </w:rPr>
      </w:pPr>
      <w:r w:rsidRPr="00014B5F">
        <w:rPr>
          <w:rFonts w:cs="Helvetica"/>
          <w:b/>
          <w:bCs/>
        </w:rPr>
        <w:t>School Board Member Compensation/Expenses/Insurance/Liability</w:t>
      </w:r>
    </w:p>
    <w:p w14:paraId="12002105" w14:textId="4A04C214" w:rsidR="00FE4D79" w:rsidRPr="00980211" w:rsidRDefault="00014B5F" w:rsidP="00FE4D79">
      <w:pPr>
        <w:widowControl w:val="0"/>
        <w:autoSpaceDE w:val="0"/>
        <w:autoSpaceDN w:val="0"/>
        <w:adjustRightInd w:val="0"/>
        <w:rPr>
          <w:rFonts w:cs="Times New Roman"/>
        </w:rPr>
      </w:pPr>
      <w:r w:rsidRPr="00014B5F">
        <w:rPr>
          <w:rFonts w:cs="Helvetica"/>
        </w:rPr>
        <w:t xml:space="preserve">Board members shall receive no compensation for their services. However, upon submitting vouchers and supporting bills for expenses incurred in carrying out specific services previously authorized by the Board, Board members may be reimbursed from BOCES </w:t>
      </w:r>
      <w:r w:rsidRPr="00980211">
        <w:rPr>
          <w:rFonts w:cs="Helvetica"/>
        </w:rPr>
        <w:t>funds</w:t>
      </w:r>
      <w:r w:rsidR="00FE4D79" w:rsidRPr="00980211">
        <w:rPr>
          <w:rFonts w:cs="Times New Roman"/>
        </w:rPr>
        <w:t xml:space="preserve"> in accordance with the Board’s policy on</w:t>
      </w:r>
    </w:p>
    <w:p w14:paraId="2350206D" w14:textId="33965461" w:rsidR="00014B5F" w:rsidRPr="00014B5F" w:rsidRDefault="00FE4D79" w:rsidP="00FE4D79">
      <w:pPr>
        <w:widowControl w:val="0"/>
        <w:autoSpaceDE w:val="0"/>
        <w:autoSpaceDN w:val="0"/>
        <w:adjustRightInd w:val="0"/>
        <w:spacing w:after="240"/>
        <w:rPr>
          <w:rFonts w:cs="Times"/>
        </w:rPr>
      </w:pPr>
      <w:proofErr w:type="gramStart"/>
      <w:r w:rsidRPr="00980211">
        <w:rPr>
          <w:rFonts w:cs="Times New Roman"/>
        </w:rPr>
        <w:t>expense</w:t>
      </w:r>
      <w:proofErr w:type="gramEnd"/>
      <w:r w:rsidRPr="00980211">
        <w:rPr>
          <w:rFonts w:cs="Times New Roman"/>
        </w:rPr>
        <w:t xml:space="preserve"> authorization and reimbursement.</w:t>
      </w:r>
    </w:p>
    <w:p w14:paraId="08E4E843" w14:textId="77777777" w:rsidR="00014B5F" w:rsidRPr="00014B5F" w:rsidRDefault="00014B5F" w:rsidP="00014B5F">
      <w:pPr>
        <w:widowControl w:val="0"/>
        <w:autoSpaceDE w:val="0"/>
        <w:autoSpaceDN w:val="0"/>
        <w:adjustRightInd w:val="0"/>
        <w:spacing w:after="240"/>
        <w:rPr>
          <w:rFonts w:cs="Times"/>
        </w:rPr>
      </w:pPr>
      <w:r w:rsidRPr="00014B5F">
        <w:rPr>
          <w:rFonts w:cs="Helvetica"/>
        </w:rPr>
        <w:t>The Board shall purchase liability insurance and errors-and-omissions insurance to protect its members individually and collectively for claims made against them as a result of their membership on the Board.</w:t>
      </w:r>
    </w:p>
    <w:p w14:paraId="50AF128D" w14:textId="77777777" w:rsidR="00014B5F" w:rsidRPr="00014B5F" w:rsidRDefault="00014B5F" w:rsidP="00014B5F">
      <w:pPr>
        <w:widowControl w:val="0"/>
        <w:autoSpaceDE w:val="0"/>
        <w:autoSpaceDN w:val="0"/>
        <w:adjustRightInd w:val="0"/>
        <w:spacing w:after="240"/>
        <w:rPr>
          <w:rFonts w:cs="Times"/>
        </w:rPr>
      </w:pPr>
      <w:r w:rsidRPr="00014B5F">
        <w:rPr>
          <w:rFonts w:cs="Helvetica"/>
        </w:rPr>
        <w:t xml:space="preserve">The Board relies on the provisions of the Colorado Governmental Immunity Act, C.R.S. 24-10-101, </w:t>
      </w:r>
      <w:r w:rsidRPr="00014B5F">
        <w:rPr>
          <w:rFonts w:cs="Helvetica"/>
          <w:i/>
          <w:iCs/>
        </w:rPr>
        <w:t xml:space="preserve">et seq. </w:t>
      </w:r>
      <w:r w:rsidRPr="00014B5F">
        <w:rPr>
          <w:rFonts w:cs="Helvetica"/>
        </w:rPr>
        <w:t>(the Act), as the statement of its obligation to defend and indemnify Board members. If the Board elects to provide for the defense of a Board member in a claim which alleges willful and wanton conduct by the Board member, the Board may require the Board member to post a reasonable bond to ensure reimbursement of any amounts advanced, as provided for in the Act.</w:t>
      </w:r>
    </w:p>
    <w:p w14:paraId="67679E9C" w14:textId="77777777" w:rsidR="00014B5F" w:rsidRDefault="004E46E7" w:rsidP="00014B5F">
      <w:pPr>
        <w:widowControl w:val="0"/>
        <w:autoSpaceDE w:val="0"/>
        <w:autoSpaceDN w:val="0"/>
        <w:adjustRightInd w:val="0"/>
        <w:spacing w:after="240"/>
        <w:rPr>
          <w:rFonts w:cs="Helvetica"/>
        </w:rPr>
      </w:pPr>
      <w:r>
        <w:rPr>
          <w:rFonts w:cs="Helvetica"/>
        </w:rPr>
        <w:t>Adopted: March 18, 2015</w:t>
      </w:r>
    </w:p>
    <w:p w14:paraId="11A4BA7F" w14:textId="1DBEC855" w:rsidR="00980211" w:rsidRDefault="00980211" w:rsidP="00014B5F">
      <w:pPr>
        <w:widowControl w:val="0"/>
        <w:autoSpaceDE w:val="0"/>
        <w:autoSpaceDN w:val="0"/>
        <w:adjustRightInd w:val="0"/>
        <w:spacing w:after="240"/>
        <w:rPr>
          <w:rFonts w:cs="Helvetica"/>
        </w:rPr>
      </w:pPr>
      <w:r>
        <w:rPr>
          <w:rFonts w:cs="Helvetica"/>
        </w:rPr>
        <w:t>Revised: November</w:t>
      </w:r>
      <w:bookmarkStart w:id="0" w:name="_GoBack"/>
      <w:bookmarkEnd w:id="0"/>
      <w:r>
        <w:rPr>
          <w:rFonts w:cs="Helvetica"/>
        </w:rPr>
        <w:t xml:space="preserve"> 20, 2019</w:t>
      </w:r>
    </w:p>
    <w:p w14:paraId="0D3CBC63" w14:textId="77777777" w:rsidR="00014B5F" w:rsidRDefault="00014B5F" w:rsidP="00014B5F">
      <w:pPr>
        <w:widowControl w:val="0"/>
        <w:autoSpaceDE w:val="0"/>
        <w:autoSpaceDN w:val="0"/>
        <w:adjustRightInd w:val="0"/>
        <w:rPr>
          <w:rFonts w:cs="Helvetica"/>
          <w:i/>
          <w:iCs/>
        </w:rPr>
      </w:pPr>
      <w:r w:rsidRPr="00014B5F">
        <w:rPr>
          <w:rFonts w:cs="Helvetica"/>
        </w:rPr>
        <w:t>LEGAL REFS</w:t>
      </w:r>
      <w:proofErr w:type="gramStart"/>
      <w:r w:rsidRPr="00014B5F">
        <w:rPr>
          <w:rFonts w:cs="Helvetica"/>
        </w:rPr>
        <w:t>.:</w:t>
      </w:r>
      <w:proofErr w:type="gramEnd"/>
      <w:r>
        <w:rPr>
          <w:rFonts w:cs="Times"/>
        </w:rPr>
        <w:tab/>
      </w:r>
      <w:r>
        <w:rPr>
          <w:rFonts w:cs="Times"/>
        </w:rPr>
        <w:tab/>
      </w:r>
      <w:r w:rsidRPr="00014B5F">
        <w:rPr>
          <w:rFonts w:cs="Helvetica"/>
        </w:rPr>
        <w:t xml:space="preserve">20 U.S.C. 2361 through 2368 </w:t>
      </w:r>
      <w:r w:rsidRPr="00014B5F">
        <w:rPr>
          <w:rFonts w:cs="Helvetica"/>
          <w:i/>
          <w:iCs/>
        </w:rPr>
        <w:t xml:space="preserve">(Coverdell Teacher Protection Act </w:t>
      </w:r>
      <w:r>
        <w:rPr>
          <w:rFonts w:cs="Helvetica"/>
          <w:i/>
          <w:iCs/>
        </w:rPr>
        <w:tab/>
      </w:r>
      <w:r>
        <w:rPr>
          <w:rFonts w:cs="Helvetica"/>
          <w:i/>
          <w:iCs/>
        </w:rPr>
        <w:tab/>
      </w:r>
      <w:r>
        <w:rPr>
          <w:rFonts w:cs="Helvetica"/>
          <w:i/>
          <w:iCs/>
        </w:rPr>
        <w:tab/>
      </w:r>
      <w:r>
        <w:rPr>
          <w:rFonts w:cs="Helvetica"/>
          <w:i/>
          <w:iCs/>
        </w:rPr>
        <w:tab/>
      </w:r>
      <w:r w:rsidRPr="00014B5F">
        <w:rPr>
          <w:rFonts w:cs="Helvetica"/>
          <w:i/>
          <w:iCs/>
        </w:rPr>
        <w:t xml:space="preserve">contained in No Child Left Behind Act of 2001 limits the liability </w:t>
      </w:r>
      <w:r>
        <w:rPr>
          <w:rFonts w:cs="Helvetica"/>
          <w:i/>
          <w:iCs/>
        </w:rPr>
        <w:tab/>
      </w:r>
      <w:r>
        <w:rPr>
          <w:rFonts w:cs="Helvetica"/>
          <w:i/>
          <w:iCs/>
        </w:rPr>
        <w:tab/>
      </w:r>
      <w:r>
        <w:rPr>
          <w:rFonts w:cs="Helvetica"/>
          <w:i/>
          <w:iCs/>
        </w:rPr>
        <w:tab/>
      </w:r>
      <w:r>
        <w:rPr>
          <w:rFonts w:cs="Helvetica"/>
          <w:i/>
          <w:iCs/>
        </w:rPr>
        <w:tab/>
      </w:r>
      <w:r w:rsidRPr="00014B5F">
        <w:rPr>
          <w:rFonts w:cs="Helvetica"/>
          <w:i/>
          <w:iCs/>
        </w:rPr>
        <w:t>of school board members)</w:t>
      </w:r>
    </w:p>
    <w:p w14:paraId="6E13E326" w14:textId="77777777" w:rsidR="00014B5F" w:rsidRPr="00014B5F" w:rsidRDefault="00014B5F" w:rsidP="00014B5F">
      <w:pPr>
        <w:widowControl w:val="0"/>
        <w:autoSpaceDE w:val="0"/>
        <w:autoSpaceDN w:val="0"/>
        <w:adjustRightInd w:val="0"/>
        <w:rPr>
          <w:rFonts w:cs="Times"/>
        </w:rPr>
      </w:pPr>
      <w:r>
        <w:rPr>
          <w:rFonts w:cs="Helvetica"/>
          <w:i/>
          <w:iCs/>
        </w:rPr>
        <w:tab/>
      </w:r>
      <w:r>
        <w:rPr>
          <w:rFonts w:cs="Helvetica"/>
          <w:i/>
          <w:iCs/>
        </w:rPr>
        <w:tab/>
      </w:r>
      <w:r>
        <w:rPr>
          <w:rFonts w:cs="Helvetica"/>
          <w:i/>
          <w:iCs/>
        </w:rPr>
        <w:tab/>
      </w:r>
      <w:r w:rsidRPr="00014B5F">
        <w:rPr>
          <w:rFonts w:cs="Helvetica"/>
        </w:rPr>
        <w:t xml:space="preserve">C.R.S. 22-12-101 </w:t>
      </w:r>
      <w:r w:rsidRPr="00014B5F">
        <w:rPr>
          <w:rFonts w:cs="Helvetica"/>
          <w:i/>
          <w:iCs/>
        </w:rPr>
        <w:t xml:space="preserve">et seq. (Teacher and School Administrator </w:t>
      </w:r>
      <w:r>
        <w:rPr>
          <w:rFonts w:cs="Helvetica"/>
          <w:i/>
          <w:iCs/>
        </w:rPr>
        <w:tab/>
      </w:r>
      <w:r>
        <w:rPr>
          <w:rFonts w:cs="Helvetica"/>
          <w:i/>
          <w:iCs/>
        </w:rPr>
        <w:tab/>
      </w:r>
      <w:r>
        <w:rPr>
          <w:rFonts w:cs="Helvetica"/>
          <w:i/>
          <w:iCs/>
        </w:rPr>
        <w:tab/>
      </w:r>
      <w:r>
        <w:rPr>
          <w:rFonts w:cs="Helvetica"/>
          <w:i/>
          <w:iCs/>
        </w:rPr>
        <w:tab/>
      </w:r>
      <w:r w:rsidRPr="00014B5F">
        <w:rPr>
          <w:rFonts w:cs="Helvetica"/>
          <w:i/>
          <w:iCs/>
        </w:rPr>
        <w:t>Protection Act also limits liability of school board members)</w:t>
      </w:r>
    </w:p>
    <w:p w14:paraId="0BFE2A0F" w14:textId="77777777" w:rsidR="00014B5F" w:rsidRDefault="00014B5F" w:rsidP="00014B5F">
      <w:pPr>
        <w:widowControl w:val="0"/>
        <w:autoSpaceDE w:val="0"/>
        <w:autoSpaceDN w:val="0"/>
        <w:adjustRightInd w:val="0"/>
        <w:rPr>
          <w:rFonts w:cs="Helvetica"/>
          <w:i/>
          <w:iCs/>
        </w:rPr>
      </w:pPr>
      <w:r>
        <w:rPr>
          <w:rFonts w:cs="Helvetica"/>
        </w:rPr>
        <w:tab/>
      </w:r>
      <w:r>
        <w:rPr>
          <w:rFonts w:cs="Helvetica"/>
        </w:rPr>
        <w:tab/>
      </w:r>
      <w:r>
        <w:rPr>
          <w:rFonts w:cs="Helvetica"/>
        </w:rPr>
        <w:tab/>
      </w:r>
      <w:r w:rsidRPr="00014B5F">
        <w:rPr>
          <w:rFonts w:cs="Helvetica"/>
        </w:rPr>
        <w:t xml:space="preserve">C.R.S. 22-32-104(5) </w:t>
      </w:r>
      <w:r w:rsidRPr="00014B5F">
        <w:rPr>
          <w:rFonts w:cs="Helvetica"/>
          <w:i/>
          <w:iCs/>
        </w:rPr>
        <w:t>(board member compensation) </w:t>
      </w:r>
    </w:p>
    <w:p w14:paraId="30A041AA" w14:textId="77777777" w:rsidR="00014B5F" w:rsidRDefault="00014B5F" w:rsidP="00014B5F">
      <w:pPr>
        <w:widowControl w:val="0"/>
        <w:autoSpaceDE w:val="0"/>
        <w:autoSpaceDN w:val="0"/>
        <w:adjustRightInd w:val="0"/>
        <w:rPr>
          <w:rFonts w:cs="Helvetica"/>
          <w:i/>
          <w:iCs/>
        </w:rPr>
      </w:pPr>
      <w:r>
        <w:rPr>
          <w:rFonts w:cs="Helvetica"/>
          <w:i/>
          <w:iCs/>
        </w:rPr>
        <w:tab/>
      </w:r>
      <w:r>
        <w:rPr>
          <w:rFonts w:cs="Helvetica"/>
          <w:i/>
          <w:iCs/>
        </w:rPr>
        <w:tab/>
      </w:r>
      <w:r>
        <w:rPr>
          <w:rFonts w:cs="Helvetica"/>
          <w:i/>
          <w:iCs/>
        </w:rPr>
        <w:tab/>
      </w:r>
      <w:r w:rsidRPr="00014B5F">
        <w:rPr>
          <w:rFonts w:cs="Helvetica"/>
        </w:rPr>
        <w:t>C.R.S. 22-32-109.1(9</w:t>
      </w:r>
      <w:r w:rsidRPr="00014B5F">
        <w:rPr>
          <w:rFonts w:cs="Helvetica"/>
          <w:i/>
          <w:iCs/>
        </w:rPr>
        <w:t xml:space="preserve">) (immunity provisions in safe schools law </w:t>
      </w:r>
      <w:r>
        <w:rPr>
          <w:rFonts w:cs="Helvetica"/>
          <w:i/>
          <w:iCs/>
        </w:rPr>
        <w:tab/>
      </w:r>
      <w:r>
        <w:rPr>
          <w:rFonts w:cs="Helvetica"/>
          <w:i/>
          <w:iCs/>
        </w:rPr>
        <w:tab/>
      </w:r>
      <w:r>
        <w:rPr>
          <w:rFonts w:cs="Helvetica"/>
          <w:i/>
          <w:iCs/>
        </w:rPr>
        <w:tab/>
      </w:r>
      <w:r>
        <w:rPr>
          <w:rFonts w:cs="Helvetica"/>
          <w:i/>
          <w:iCs/>
        </w:rPr>
        <w:tab/>
      </w:r>
      <w:r w:rsidRPr="00014B5F">
        <w:rPr>
          <w:rFonts w:cs="Helvetica"/>
          <w:i/>
          <w:iCs/>
        </w:rPr>
        <w:t>also apply to board members) </w:t>
      </w:r>
    </w:p>
    <w:p w14:paraId="0F03E3CA" w14:textId="77777777" w:rsidR="00014B5F" w:rsidRDefault="00014B5F" w:rsidP="00014B5F">
      <w:pPr>
        <w:widowControl w:val="0"/>
        <w:autoSpaceDE w:val="0"/>
        <w:autoSpaceDN w:val="0"/>
        <w:adjustRightInd w:val="0"/>
        <w:rPr>
          <w:rFonts w:cs="Helvetica"/>
          <w:i/>
          <w:iCs/>
        </w:rPr>
      </w:pPr>
      <w:r>
        <w:rPr>
          <w:rFonts w:cs="Helvetica"/>
          <w:i/>
          <w:iCs/>
        </w:rPr>
        <w:tab/>
      </w:r>
      <w:r>
        <w:rPr>
          <w:rFonts w:cs="Helvetica"/>
          <w:i/>
          <w:iCs/>
        </w:rPr>
        <w:tab/>
      </w:r>
      <w:r>
        <w:rPr>
          <w:rFonts w:cs="Helvetica"/>
          <w:i/>
          <w:iCs/>
        </w:rPr>
        <w:tab/>
      </w:r>
      <w:r w:rsidRPr="00014B5F">
        <w:rPr>
          <w:rFonts w:cs="Helvetica"/>
        </w:rPr>
        <w:t xml:space="preserve">C.R.S. 22-32-110(1)(n), (u) </w:t>
      </w:r>
      <w:r w:rsidRPr="00014B5F">
        <w:rPr>
          <w:rFonts w:cs="Helvetica"/>
          <w:i/>
          <w:iCs/>
        </w:rPr>
        <w:t xml:space="preserve">(power to provide necessary </w:t>
      </w:r>
      <w:r>
        <w:rPr>
          <w:rFonts w:cs="Helvetica"/>
          <w:i/>
          <w:iCs/>
        </w:rPr>
        <w:tab/>
      </w:r>
      <w:r>
        <w:rPr>
          <w:rFonts w:cs="Helvetica"/>
          <w:i/>
          <w:iCs/>
        </w:rPr>
        <w:tab/>
      </w:r>
      <w:r>
        <w:rPr>
          <w:rFonts w:cs="Helvetica"/>
          <w:i/>
          <w:iCs/>
        </w:rPr>
        <w:tab/>
      </w:r>
      <w:r>
        <w:rPr>
          <w:rFonts w:cs="Helvetica"/>
          <w:i/>
          <w:iCs/>
        </w:rPr>
        <w:tab/>
      </w:r>
      <w:r>
        <w:rPr>
          <w:rFonts w:cs="Helvetica"/>
          <w:i/>
          <w:iCs/>
        </w:rPr>
        <w:tab/>
      </w:r>
      <w:r w:rsidRPr="00014B5F">
        <w:rPr>
          <w:rFonts w:cs="Helvetica"/>
          <w:i/>
          <w:iCs/>
        </w:rPr>
        <w:t xml:space="preserve">expenses) </w:t>
      </w:r>
    </w:p>
    <w:p w14:paraId="2346655F" w14:textId="77777777" w:rsidR="00014B5F" w:rsidRDefault="00014B5F" w:rsidP="00014B5F">
      <w:pPr>
        <w:widowControl w:val="0"/>
        <w:autoSpaceDE w:val="0"/>
        <w:autoSpaceDN w:val="0"/>
        <w:adjustRightInd w:val="0"/>
        <w:rPr>
          <w:rFonts w:cs="Helvetica"/>
          <w:i/>
          <w:iCs/>
        </w:rPr>
      </w:pPr>
      <w:r>
        <w:rPr>
          <w:rFonts w:cs="Helvetica"/>
          <w:i/>
          <w:iCs/>
        </w:rPr>
        <w:tab/>
      </w:r>
      <w:r>
        <w:rPr>
          <w:rFonts w:cs="Helvetica"/>
          <w:i/>
          <w:iCs/>
        </w:rPr>
        <w:tab/>
      </w:r>
      <w:r>
        <w:rPr>
          <w:rFonts w:cs="Helvetica"/>
          <w:i/>
          <w:iCs/>
        </w:rPr>
        <w:tab/>
      </w:r>
      <w:r w:rsidRPr="00014B5F">
        <w:rPr>
          <w:rFonts w:cs="Helvetica"/>
        </w:rPr>
        <w:t xml:space="preserve">C.R.S. </w:t>
      </w:r>
      <w:proofErr w:type="gramStart"/>
      <w:r w:rsidRPr="00014B5F">
        <w:rPr>
          <w:rFonts w:cs="Helvetica"/>
        </w:rPr>
        <w:t xml:space="preserve">24-10-102 </w:t>
      </w:r>
      <w:r w:rsidRPr="00014B5F">
        <w:rPr>
          <w:rFonts w:cs="Helvetica"/>
          <w:i/>
          <w:iCs/>
        </w:rPr>
        <w:t>et seq.</w:t>
      </w:r>
      <w:proofErr w:type="gramEnd"/>
      <w:r w:rsidRPr="00014B5F">
        <w:rPr>
          <w:rFonts w:cs="Helvetica"/>
          <w:i/>
          <w:iCs/>
        </w:rPr>
        <w:t xml:space="preserve"> (governmental immunity) </w:t>
      </w:r>
    </w:p>
    <w:p w14:paraId="5EABAEB3" w14:textId="77777777" w:rsidR="00014B5F" w:rsidRPr="00014B5F" w:rsidRDefault="00014B5F" w:rsidP="00014B5F">
      <w:pPr>
        <w:widowControl w:val="0"/>
        <w:autoSpaceDE w:val="0"/>
        <w:autoSpaceDN w:val="0"/>
        <w:adjustRightInd w:val="0"/>
        <w:rPr>
          <w:rFonts w:cs="Times"/>
        </w:rPr>
      </w:pPr>
      <w:r>
        <w:rPr>
          <w:rFonts w:cs="Helvetica"/>
          <w:i/>
          <w:iCs/>
        </w:rPr>
        <w:tab/>
      </w:r>
      <w:r>
        <w:rPr>
          <w:rFonts w:cs="Helvetica"/>
          <w:i/>
          <w:iCs/>
        </w:rPr>
        <w:tab/>
      </w:r>
      <w:r>
        <w:rPr>
          <w:rFonts w:cs="Helvetica"/>
          <w:i/>
          <w:iCs/>
        </w:rPr>
        <w:tab/>
      </w:r>
      <w:r w:rsidRPr="00014B5F">
        <w:rPr>
          <w:rFonts w:cs="Helvetica"/>
        </w:rPr>
        <w:t xml:space="preserve">C.R.S. 24-18-104(3)(d), (e) </w:t>
      </w:r>
      <w:r w:rsidRPr="00014B5F">
        <w:rPr>
          <w:rFonts w:cs="Helvetica"/>
          <w:i/>
          <w:iCs/>
        </w:rPr>
        <w:t xml:space="preserve">(reimbursements are not considered </w:t>
      </w:r>
      <w:r>
        <w:rPr>
          <w:rFonts w:cs="Helvetica"/>
          <w:i/>
          <w:iCs/>
        </w:rPr>
        <w:tab/>
      </w:r>
      <w:r>
        <w:rPr>
          <w:rFonts w:cs="Helvetica"/>
          <w:i/>
          <w:iCs/>
        </w:rPr>
        <w:tab/>
      </w:r>
      <w:r>
        <w:rPr>
          <w:rFonts w:cs="Helvetica"/>
          <w:i/>
          <w:iCs/>
        </w:rPr>
        <w:tab/>
      </w:r>
      <w:r>
        <w:rPr>
          <w:rFonts w:cs="Helvetica"/>
          <w:i/>
          <w:iCs/>
        </w:rPr>
        <w:tab/>
      </w:r>
      <w:r w:rsidRPr="00014B5F">
        <w:rPr>
          <w:rFonts w:cs="Helvetica"/>
          <w:i/>
          <w:iCs/>
        </w:rPr>
        <w:t>gifts)</w:t>
      </w:r>
    </w:p>
    <w:p w14:paraId="7B59E3E9" w14:textId="77777777" w:rsidR="00014B5F" w:rsidRDefault="00014B5F" w:rsidP="00014B5F">
      <w:pPr>
        <w:widowControl w:val="0"/>
        <w:autoSpaceDE w:val="0"/>
        <w:autoSpaceDN w:val="0"/>
        <w:adjustRightInd w:val="0"/>
        <w:spacing w:after="240"/>
        <w:rPr>
          <w:rFonts w:cs="Helvetica"/>
        </w:rPr>
      </w:pPr>
    </w:p>
    <w:p w14:paraId="230C5204" w14:textId="77777777" w:rsidR="00FE4D79" w:rsidRDefault="00014B5F" w:rsidP="00FE4D79">
      <w:pPr>
        <w:widowControl w:val="0"/>
        <w:autoSpaceDE w:val="0"/>
        <w:autoSpaceDN w:val="0"/>
        <w:adjustRightInd w:val="0"/>
        <w:rPr>
          <w:rFonts w:cs="Times New Roman"/>
        </w:rPr>
      </w:pPr>
      <w:r w:rsidRPr="00014B5F">
        <w:rPr>
          <w:rFonts w:cs="Helvetica"/>
        </w:rPr>
        <w:t>CROSS REF.</w:t>
      </w:r>
      <w:proofErr w:type="gramStart"/>
      <w:r w:rsidRPr="00014B5F">
        <w:rPr>
          <w:rFonts w:cs="Helvetica"/>
        </w:rPr>
        <w:t>: </w:t>
      </w:r>
      <w:proofErr w:type="gramEnd"/>
      <w:r w:rsidRPr="00014B5F">
        <w:rPr>
          <w:rFonts w:cs="Helvetica"/>
        </w:rPr>
        <w:t xml:space="preserve"> </w:t>
      </w:r>
      <w:r>
        <w:rPr>
          <w:rFonts w:cs="Helvetica"/>
        </w:rPr>
        <w:tab/>
      </w:r>
      <w:r>
        <w:rPr>
          <w:rFonts w:cs="Helvetica"/>
        </w:rPr>
        <w:tab/>
      </w:r>
      <w:r w:rsidR="00FE4D79" w:rsidRPr="00FE4D79">
        <w:rPr>
          <w:rFonts w:cs="Times New Roman"/>
        </w:rPr>
        <w:t xml:space="preserve">DKC,  Expense Authorization/Reimbursement (Mileage and </w:t>
      </w:r>
      <w:r w:rsidR="00FE4D79">
        <w:rPr>
          <w:rFonts w:cs="Times New Roman"/>
        </w:rPr>
        <w:tab/>
      </w:r>
      <w:r w:rsidR="00FE4D79">
        <w:rPr>
          <w:rFonts w:cs="Times New Roman"/>
        </w:rPr>
        <w:tab/>
      </w:r>
      <w:r w:rsidR="00FE4D79">
        <w:rPr>
          <w:rFonts w:cs="Times New Roman"/>
        </w:rPr>
        <w:tab/>
      </w:r>
      <w:r w:rsidR="00FE4D79">
        <w:rPr>
          <w:rFonts w:cs="Times New Roman"/>
        </w:rPr>
        <w:tab/>
      </w:r>
      <w:r w:rsidR="00FE4D79" w:rsidRPr="00FE4D79">
        <w:rPr>
          <w:rFonts w:cs="Times New Roman"/>
        </w:rPr>
        <w:t>Travel)</w:t>
      </w:r>
    </w:p>
    <w:p w14:paraId="42896E83" w14:textId="759EEB16" w:rsidR="00014B5F" w:rsidRPr="00FE4D79" w:rsidRDefault="00FE4D79" w:rsidP="00FE4D79">
      <w:pPr>
        <w:widowControl w:val="0"/>
        <w:autoSpaceDE w:val="0"/>
        <w:autoSpaceDN w:val="0"/>
        <w:adjustRightInd w:val="0"/>
        <w:rPr>
          <w:rFonts w:cs="Times"/>
        </w:rPr>
      </w:pPr>
      <w:r>
        <w:rPr>
          <w:rFonts w:cs="Helvetica"/>
        </w:rPr>
        <w:tab/>
      </w:r>
      <w:r>
        <w:rPr>
          <w:rFonts w:cs="Helvetica"/>
        </w:rPr>
        <w:tab/>
      </w:r>
      <w:r>
        <w:rPr>
          <w:rFonts w:cs="Helvetica"/>
        </w:rPr>
        <w:tab/>
      </w:r>
      <w:r w:rsidR="00014B5F" w:rsidRPr="00FE4D79">
        <w:rPr>
          <w:rFonts w:cs="Helvetica"/>
        </w:rPr>
        <w:t>EI, Insurance Program/Risk Management</w:t>
      </w:r>
    </w:p>
    <w:p w14:paraId="2D615DA6" w14:textId="77777777" w:rsidR="003063AA" w:rsidRPr="00FE4D79" w:rsidRDefault="003063AA"/>
    <w:sectPr w:rsidR="003063AA" w:rsidRPr="00FE4D79" w:rsidSect="00C030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5F"/>
    <w:rsid w:val="00014B5F"/>
    <w:rsid w:val="003063AA"/>
    <w:rsid w:val="004E46E7"/>
    <w:rsid w:val="00980211"/>
    <w:rsid w:val="00FE4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899F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1652</Characters>
  <Application>Microsoft Macintosh Word</Application>
  <DocSecurity>0</DocSecurity>
  <Lines>13</Lines>
  <Paragraphs>3</Paragraphs>
  <ScaleCrop>false</ScaleCrop>
  <Company>San Luis Valley BOCES</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3</cp:revision>
  <dcterms:created xsi:type="dcterms:W3CDTF">2019-09-01T22:31:00Z</dcterms:created>
  <dcterms:modified xsi:type="dcterms:W3CDTF">2019-11-22T20:22:00Z</dcterms:modified>
</cp:coreProperties>
</file>