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C8" w:rsidRPr="001D6B7E" w:rsidRDefault="004967C8" w:rsidP="004967C8">
      <w:pPr>
        <w:ind w:left="360"/>
        <w:outlineLvl w:val="0"/>
        <w:rPr>
          <w:rFonts w:ascii="Perpetua Titling MT" w:hAnsi="Perpetua Titling MT"/>
          <w:b/>
          <w:color w:val="D11726"/>
          <w:sz w:val="32"/>
          <w:szCs w:val="32"/>
        </w:rPr>
      </w:pPr>
      <w:r w:rsidRPr="001D6B7E">
        <w:rPr>
          <w:rFonts w:ascii="Perpetua Titling MT" w:hAnsi="Perpetua Titling MT"/>
          <w:b/>
          <w:color w:val="D11726"/>
          <w:sz w:val="32"/>
          <w:szCs w:val="32"/>
        </w:rPr>
        <w:t>Case Man</w:t>
      </w:r>
      <w:r>
        <w:rPr>
          <w:rFonts w:ascii="Perpetua Titling MT" w:hAnsi="Perpetua Titling MT"/>
          <w:b/>
          <w:color w:val="D11726"/>
          <w:sz w:val="32"/>
          <w:szCs w:val="32"/>
        </w:rPr>
        <w:t>a</w:t>
      </w:r>
      <w:r w:rsidRPr="001D6B7E">
        <w:rPr>
          <w:rFonts w:ascii="Perpetua Titling MT" w:hAnsi="Perpetua Titling MT"/>
          <w:b/>
          <w:color w:val="D11726"/>
          <w:sz w:val="32"/>
          <w:szCs w:val="32"/>
        </w:rPr>
        <w:t>ger’s Aide</w:t>
      </w:r>
      <w:r>
        <w:rPr>
          <w:rFonts w:ascii="Perpetua Titling MT" w:hAnsi="Perpetua Titling MT"/>
          <w:b/>
          <w:color w:val="D11726"/>
          <w:sz w:val="32"/>
          <w:szCs w:val="32"/>
        </w:rPr>
        <w:t>:</w:t>
      </w:r>
    </w:p>
    <w:p w:rsidR="004967C8" w:rsidRPr="009E01B0" w:rsidRDefault="004967C8" w:rsidP="004967C8">
      <w:pPr>
        <w:autoSpaceDE w:val="0"/>
        <w:autoSpaceDN w:val="0"/>
        <w:adjustRightInd w:val="0"/>
        <w:ind w:left="360"/>
        <w:jc w:val="both"/>
        <w:outlineLvl w:val="0"/>
        <w:rPr>
          <w:rFonts w:ascii="Century Gothic" w:hAnsi="Century Gothic"/>
          <w:b/>
          <w:bCs/>
        </w:rPr>
      </w:pPr>
      <w:r w:rsidRPr="009E01B0">
        <w:rPr>
          <w:rFonts w:ascii="Century Gothic" w:hAnsi="Century Gothic"/>
          <w:b/>
          <w:bCs/>
        </w:rPr>
        <w:t>Sample IEP Meeting Agenda:</w:t>
      </w:r>
    </w:p>
    <w:p w:rsidR="004967C8" w:rsidRPr="009E01B0" w:rsidRDefault="004967C8" w:rsidP="004967C8">
      <w:pPr>
        <w:autoSpaceDE w:val="0"/>
        <w:autoSpaceDN w:val="0"/>
        <w:adjustRightInd w:val="0"/>
        <w:ind w:left="360"/>
        <w:jc w:val="both"/>
        <w:outlineLvl w:val="0"/>
        <w:rPr>
          <w:rFonts w:ascii="Arial Narrow" w:hAnsi="Arial Narrow"/>
          <w:b/>
          <w:bCs/>
        </w:rPr>
      </w:pPr>
      <w:r w:rsidRPr="009E01B0">
        <w:rPr>
          <w:rFonts w:ascii="Arial Narrow" w:hAnsi="Arial Narrow"/>
          <w:b/>
          <w:bCs/>
        </w:rPr>
        <w:t>Time scheduled for today’s meeting*: _______</w:t>
      </w:r>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1. Introduce IEP Team participants</w:t>
      </w:r>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2. State the of Purpose for the Conference</w:t>
      </w:r>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 xml:space="preserve">3. Ask if parents have questions about </w:t>
      </w:r>
      <w:r w:rsidRPr="009E01B0">
        <w:rPr>
          <w:rFonts w:ascii="Arial Narrow" w:hAnsi="Arial Narrow"/>
          <w:i/>
        </w:rPr>
        <w:t>Procedural Safeguards, Rights and Responsibilities</w:t>
      </w:r>
      <w:r w:rsidRPr="009E01B0">
        <w:rPr>
          <w:rFonts w:ascii="Arial Narrow" w:hAnsi="Arial Narrow"/>
        </w:rPr>
        <w:t xml:space="preserve"> </w:t>
      </w:r>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4. Present Levels of Academic Achievement and Functional Performance</w:t>
      </w:r>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5. Determination of Special Factors</w:t>
      </w:r>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6. Determine Post-School Goals and Transition Needs</w:t>
      </w:r>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7. Develop Annual Goals</w:t>
      </w:r>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8. Determine Accommodations and Modifications Needed</w:t>
      </w:r>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 xml:space="preserve">9. Determine Service </w:t>
      </w:r>
      <w:proofErr w:type="gramStart"/>
      <w:r w:rsidRPr="009E01B0">
        <w:rPr>
          <w:rFonts w:ascii="Arial Narrow" w:hAnsi="Arial Narrow"/>
        </w:rPr>
        <w:t>Delivery</w:t>
      </w:r>
      <w:proofErr w:type="gramEnd"/>
    </w:p>
    <w:p w:rsidR="004967C8" w:rsidRPr="009E01B0" w:rsidRDefault="004967C8" w:rsidP="004967C8">
      <w:pPr>
        <w:autoSpaceDE w:val="0"/>
        <w:autoSpaceDN w:val="0"/>
        <w:adjustRightInd w:val="0"/>
        <w:ind w:left="360"/>
        <w:jc w:val="both"/>
        <w:rPr>
          <w:rFonts w:ascii="Arial Narrow" w:hAnsi="Arial Narrow"/>
        </w:rPr>
      </w:pPr>
      <w:r w:rsidRPr="009E01B0">
        <w:rPr>
          <w:rFonts w:ascii="Arial Narrow" w:hAnsi="Arial Narrow"/>
        </w:rPr>
        <w:t xml:space="preserve">10. Determine </w:t>
      </w:r>
      <w:proofErr w:type="gramStart"/>
      <w:r w:rsidRPr="009E01B0">
        <w:rPr>
          <w:rFonts w:ascii="Arial Narrow" w:hAnsi="Arial Narrow"/>
        </w:rPr>
        <w:t>Placement</w:t>
      </w:r>
      <w:proofErr w:type="gramEnd"/>
      <w:r w:rsidRPr="009E01B0">
        <w:rPr>
          <w:rFonts w:ascii="Arial Narrow" w:hAnsi="Arial Narrow"/>
        </w:rPr>
        <w:t xml:space="preserve"> in the Least Restrictive Environment</w:t>
      </w:r>
    </w:p>
    <w:p w:rsidR="004967C8" w:rsidRPr="009E01B0" w:rsidRDefault="004967C8" w:rsidP="004967C8">
      <w:pPr>
        <w:autoSpaceDE w:val="0"/>
        <w:autoSpaceDN w:val="0"/>
        <w:adjustRightInd w:val="0"/>
        <w:jc w:val="both"/>
        <w:rPr>
          <w:rFonts w:ascii="Arial Narrow" w:hAnsi="Arial Narrow"/>
        </w:rPr>
      </w:pPr>
    </w:p>
    <w:p w:rsidR="004967C8" w:rsidRPr="009E01B0" w:rsidRDefault="004967C8" w:rsidP="004967C8">
      <w:pPr>
        <w:autoSpaceDE w:val="0"/>
        <w:autoSpaceDN w:val="0"/>
        <w:adjustRightInd w:val="0"/>
        <w:ind w:left="360"/>
        <w:jc w:val="both"/>
        <w:outlineLvl w:val="0"/>
        <w:rPr>
          <w:rFonts w:ascii="Arial Narrow" w:hAnsi="Arial Narrow"/>
        </w:rPr>
      </w:pPr>
      <w:r w:rsidRPr="009E01B0">
        <w:rPr>
          <w:rFonts w:ascii="Arial Narrow" w:hAnsi="Arial Narrow"/>
        </w:rPr>
        <w:t>Distribute copies of IEP documents</w:t>
      </w:r>
    </w:p>
    <w:p w:rsidR="004967C8" w:rsidRPr="009E01B0" w:rsidRDefault="004967C8" w:rsidP="004967C8">
      <w:pPr>
        <w:ind w:left="360"/>
        <w:jc w:val="both"/>
        <w:rPr>
          <w:rFonts w:ascii="Arial Narrow" w:hAnsi="Arial Narrow"/>
          <w:b/>
        </w:rPr>
      </w:pPr>
      <w:r w:rsidRPr="009E01B0">
        <w:rPr>
          <w:rFonts w:ascii="Arial Narrow" w:hAnsi="Arial Narrow"/>
        </w:rPr>
        <w:tab/>
      </w:r>
      <w:r w:rsidRPr="009E01B0">
        <w:rPr>
          <w:rFonts w:ascii="Arial Narrow" w:hAnsi="Arial Narrow"/>
          <w:b/>
        </w:rPr>
        <w:t>*If more time is needed, another meeting may be scheduled</w:t>
      </w:r>
    </w:p>
    <w:p w:rsidR="004967C8" w:rsidRPr="009E01B0" w:rsidRDefault="004967C8" w:rsidP="004967C8">
      <w:pPr>
        <w:ind w:left="360"/>
        <w:rPr>
          <w:rFonts w:ascii="Century Gothic" w:hAnsi="Century Gothic"/>
          <w:b/>
        </w:rPr>
      </w:pPr>
      <w:r w:rsidRPr="009E01B0">
        <w:rPr>
          <w:rFonts w:ascii="Century Gothic" w:hAnsi="Century Gothic"/>
          <w:b/>
        </w:rPr>
        <w:t>Forms required for Initial Eligibility:</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Prior Notice &amp; Consent for Evaluation</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Procedural Safeguards</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Notice of Meeting</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Cover page</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 xml:space="preserve">Evaluation Report </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 xml:space="preserve">Appropriate Determination of Eligibility Form(s) </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Prior Notice &amp; Initial Provision of Special Education and Related Services (if determined eligible)</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IEP (if determined eligible)</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Permission to Invite Agencies Related to Transition (if student is 15 or older)</w:t>
      </w:r>
    </w:p>
    <w:p w:rsidR="004967C8" w:rsidRPr="009E01B0" w:rsidRDefault="004967C8" w:rsidP="004967C8">
      <w:pPr>
        <w:ind w:left="360"/>
        <w:rPr>
          <w:rFonts w:ascii="Arial Narrow" w:hAnsi="Arial Narrow"/>
        </w:rPr>
      </w:pPr>
    </w:p>
    <w:p w:rsidR="004967C8" w:rsidRPr="009E01B0" w:rsidRDefault="004967C8" w:rsidP="004967C8">
      <w:pPr>
        <w:ind w:left="360"/>
        <w:rPr>
          <w:rFonts w:ascii="Century Gothic" w:hAnsi="Century Gothic"/>
        </w:rPr>
      </w:pPr>
      <w:r w:rsidRPr="009E01B0">
        <w:rPr>
          <w:rFonts w:ascii="Century Gothic" w:hAnsi="Century Gothic"/>
          <w:b/>
        </w:rPr>
        <w:t>Forms required for Reevaluation</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Prior Notice &amp; Consent for Evaluation</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Notice of Meeting</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Permission to Invite Agencies Related to Transition (if student is 15 or older)</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lastRenderedPageBreak/>
        <w:t>Cover page</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 xml:space="preserve">Evaluation Report </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 xml:space="preserve">Appropriate Determination of Eligibility Form(s) </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IEP (if determined eligible)</w:t>
      </w:r>
      <w:r>
        <w:rPr>
          <w:rFonts w:ascii="Arial Narrow" w:hAnsi="Arial Narrow"/>
        </w:rPr>
        <w:t xml:space="preserve">, </w:t>
      </w:r>
      <w:r w:rsidRPr="009E01B0">
        <w:rPr>
          <w:rFonts w:ascii="Arial Narrow" w:hAnsi="Arial Narrow"/>
        </w:rPr>
        <w:t>Prior Written Notice</w:t>
      </w:r>
    </w:p>
    <w:p w:rsidR="004967C8" w:rsidRPr="009E01B0" w:rsidRDefault="004967C8" w:rsidP="004967C8">
      <w:pPr>
        <w:ind w:left="720"/>
        <w:rPr>
          <w:rFonts w:ascii="Arial Narrow" w:hAnsi="Arial Narrow"/>
        </w:rPr>
      </w:pPr>
    </w:p>
    <w:p w:rsidR="004967C8" w:rsidRPr="009E01B0" w:rsidRDefault="004967C8" w:rsidP="004967C8">
      <w:pPr>
        <w:ind w:left="360"/>
        <w:rPr>
          <w:rFonts w:ascii="Century Gothic" w:hAnsi="Century Gothic"/>
        </w:rPr>
      </w:pPr>
      <w:r w:rsidRPr="009E01B0">
        <w:rPr>
          <w:rFonts w:ascii="Century Gothic" w:hAnsi="Century Gothic"/>
          <w:b/>
        </w:rPr>
        <w:t>Forms required for Annual IEP Review</w:t>
      </w:r>
    </w:p>
    <w:p w:rsidR="004967C8" w:rsidRPr="009E01B0" w:rsidRDefault="004967C8" w:rsidP="004967C8">
      <w:pPr>
        <w:numPr>
          <w:ilvl w:val="0"/>
          <w:numId w:val="2"/>
        </w:numPr>
        <w:tabs>
          <w:tab w:val="clear" w:pos="720"/>
          <w:tab w:val="num" w:pos="1080"/>
        </w:tabs>
        <w:spacing w:after="0" w:line="240" w:lineRule="auto"/>
        <w:ind w:left="1080"/>
        <w:rPr>
          <w:rFonts w:ascii="Arial Narrow" w:hAnsi="Arial Narrow"/>
        </w:rPr>
      </w:pPr>
      <w:r w:rsidRPr="009E01B0">
        <w:rPr>
          <w:rFonts w:ascii="Arial Narrow" w:hAnsi="Arial Narrow"/>
        </w:rPr>
        <w:t>Notice of meeting</w:t>
      </w:r>
    </w:p>
    <w:p w:rsidR="004967C8" w:rsidRPr="009E01B0" w:rsidRDefault="004967C8" w:rsidP="004967C8">
      <w:pPr>
        <w:numPr>
          <w:ilvl w:val="0"/>
          <w:numId w:val="2"/>
        </w:numPr>
        <w:tabs>
          <w:tab w:val="clear" w:pos="720"/>
          <w:tab w:val="num" w:pos="1080"/>
        </w:tabs>
        <w:spacing w:after="0" w:line="240" w:lineRule="auto"/>
        <w:ind w:left="1080"/>
        <w:rPr>
          <w:rFonts w:ascii="Arial Narrow" w:hAnsi="Arial Narrow"/>
        </w:rPr>
      </w:pPr>
      <w:r w:rsidRPr="009E01B0">
        <w:rPr>
          <w:rFonts w:ascii="Arial Narrow" w:hAnsi="Arial Narrow"/>
        </w:rPr>
        <w:t>Permission to Invite Agencies Related to Transition (if student is 15 or older)</w:t>
      </w:r>
    </w:p>
    <w:p w:rsidR="004967C8" w:rsidRPr="009E01B0" w:rsidRDefault="004967C8" w:rsidP="004967C8">
      <w:pPr>
        <w:numPr>
          <w:ilvl w:val="0"/>
          <w:numId w:val="2"/>
        </w:numPr>
        <w:tabs>
          <w:tab w:val="clear" w:pos="720"/>
          <w:tab w:val="num" w:pos="1080"/>
        </w:tabs>
        <w:spacing w:after="0" w:line="240" w:lineRule="auto"/>
        <w:ind w:left="1080"/>
        <w:rPr>
          <w:rFonts w:ascii="Arial Narrow" w:hAnsi="Arial Narrow"/>
        </w:rPr>
      </w:pPr>
      <w:r w:rsidRPr="009E01B0">
        <w:rPr>
          <w:rFonts w:ascii="Arial Narrow" w:hAnsi="Arial Narrow"/>
        </w:rPr>
        <w:t>IEP</w:t>
      </w:r>
      <w:r>
        <w:rPr>
          <w:rFonts w:ascii="Arial Narrow" w:hAnsi="Arial Narrow"/>
        </w:rPr>
        <w:t xml:space="preserve"> (</w:t>
      </w:r>
      <w:r w:rsidRPr="009E01B0">
        <w:rPr>
          <w:rFonts w:ascii="Arial Narrow" w:hAnsi="Arial Narrow"/>
        </w:rPr>
        <w:t>Prior Written Notice</w:t>
      </w:r>
      <w:r>
        <w:rPr>
          <w:rFonts w:ascii="Arial Narrow" w:hAnsi="Arial Narrow"/>
        </w:rPr>
        <w:t>)</w:t>
      </w:r>
    </w:p>
    <w:p w:rsidR="004967C8" w:rsidRPr="009E01B0" w:rsidRDefault="004967C8" w:rsidP="004967C8">
      <w:pPr>
        <w:ind w:left="360"/>
        <w:rPr>
          <w:rFonts w:ascii="Arial Narrow" w:hAnsi="Arial Narrow"/>
        </w:rPr>
      </w:pPr>
    </w:p>
    <w:p w:rsidR="004967C8" w:rsidRPr="00285ADF" w:rsidRDefault="004967C8" w:rsidP="004967C8">
      <w:pPr>
        <w:ind w:left="360"/>
        <w:rPr>
          <w:rFonts w:ascii="Century Gothic" w:hAnsi="Century Gothic"/>
          <w:b/>
        </w:rPr>
      </w:pPr>
      <w:r w:rsidRPr="009E01B0">
        <w:rPr>
          <w:rFonts w:ascii="Century Gothic" w:hAnsi="Century Gothic"/>
          <w:b/>
        </w:rPr>
        <w:t>Forms required for IEP Amendment</w:t>
      </w:r>
      <w:r>
        <w:rPr>
          <w:rFonts w:ascii="Century Gothic" w:hAnsi="Century Gothic"/>
          <w:b/>
        </w:rPr>
        <w:t xml:space="preserve"> without a meeting</w:t>
      </w:r>
    </w:p>
    <w:p w:rsidR="004967C8" w:rsidRPr="0006158C" w:rsidRDefault="004967C8" w:rsidP="004967C8">
      <w:pPr>
        <w:numPr>
          <w:ilvl w:val="0"/>
          <w:numId w:val="3"/>
        </w:numPr>
        <w:tabs>
          <w:tab w:val="clear" w:pos="720"/>
          <w:tab w:val="num" w:pos="1080"/>
        </w:tabs>
        <w:spacing w:after="0" w:line="240" w:lineRule="auto"/>
        <w:ind w:left="1080"/>
      </w:pPr>
      <w:r w:rsidRPr="009E01B0">
        <w:rPr>
          <w:rFonts w:ascii="Arial Narrow" w:hAnsi="Arial Narrow"/>
        </w:rPr>
        <w:t>IEP Amendment</w:t>
      </w:r>
      <w:r>
        <w:rPr>
          <w:rFonts w:ascii="Arial Narrow" w:hAnsi="Arial Narrow"/>
        </w:rPr>
        <w:t xml:space="preserve"> (</w:t>
      </w:r>
      <w:r w:rsidRPr="009E01B0">
        <w:rPr>
          <w:rFonts w:ascii="Arial Narrow" w:hAnsi="Arial Narrow"/>
        </w:rPr>
        <w:t>Prior Written Notice</w:t>
      </w:r>
      <w:r>
        <w:rPr>
          <w:rFonts w:ascii="Arial Narrow" w:hAnsi="Arial Narrow"/>
        </w:rPr>
        <w:t>)</w:t>
      </w:r>
    </w:p>
    <w:p w:rsidR="004967C8" w:rsidRPr="0006158C" w:rsidRDefault="004967C8" w:rsidP="004967C8">
      <w:pPr>
        <w:spacing w:after="0" w:line="240" w:lineRule="auto"/>
        <w:ind w:left="1080"/>
      </w:pPr>
    </w:p>
    <w:p w:rsidR="004967C8" w:rsidRPr="00B871E1" w:rsidRDefault="004967C8" w:rsidP="004967C8">
      <w:pPr>
        <w:spacing w:after="0" w:line="240" w:lineRule="auto"/>
      </w:pPr>
      <w:r>
        <w:rPr>
          <w:rFonts w:ascii="Arial Narrow" w:hAnsi="Arial Narrow"/>
        </w:rPr>
        <w:t>Forms required for Special Request Meeting/IEP Amendment with a meeting</w:t>
      </w:r>
    </w:p>
    <w:p w:rsidR="004967C8" w:rsidRDefault="004967C8" w:rsidP="004967C8">
      <w:pPr>
        <w:spacing w:after="0" w:line="240" w:lineRule="auto"/>
        <w:ind w:left="1080"/>
      </w:pP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 xml:space="preserve">Prior Notice &amp; Consent for </w:t>
      </w:r>
      <w:r>
        <w:rPr>
          <w:rFonts w:ascii="Arial Narrow" w:hAnsi="Arial Narrow"/>
        </w:rPr>
        <w:t xml:space="preserve">Special </w:t>
      </w:r>
      <w:r w:rsidRPr="009E01B0">
        <w:rPr>
          <w:rFonts w:ascii="Arial Narrow" w:hAnsi="Arial Narrow"/>
        </w:rPr>
        <w:t>Evaluation</w:t>
      </w:r>
      <w:r>
        <w:rPr>
          <w:rFonts w:ascii="Arial Narrow" w:hAnsi="Arial Narrow"/>
        </w:rPr>
        <w:t xml:space="preserve"> (if a special evaluation was requested)</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Notice of Meeting</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Permission to Invite Agencies Related to Transition (if student is 15 or older)</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Cover page</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 xml:space="preserve">Evaluation Report </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 xml:space="preserve">Appropriate Determination of Eligibility Form(s) </w:t>
      </w:r>
    </w:p>
    <w:p w:rsidR="004967C8" w:rsidRPr="009E01B0" w:rsidRDefault="004967C8" w:rsidP="004967C8">
      <w:pPr>
        <w:numPr>
          <w:ilvl w:val="0"/>
          <w:numId w:val="1"/>
        </w:numPr>
        <w:tabs>
          <w:tab w:val="clear" w:pos="720"/>
          <w:tab w:val="num" w:pos="1080"/>
        </w:tabs>
        <w:spacing w:after="0" w:line="240" w:lineRule="auto"/>
        <w:ind w:left="1080"/>
        <w:rPr>
          <w:rFonts w:ascii="Arial Narrow" w:hAnsi="Arial Narrow"/>
        </w:rPr>
      </w:pPr>
      <w:r w:rsidRPr="009E01B0">
        <w:rPr>
          <w:rFonts w:ascii="Arial Narrow" w:hAnsi="Arial Narrow"/>
        </w:rPr>
        <w:t>IEP (if determined eligible)</w:t>
      </w:r>
      <w:r>
        <w:rPr>
          <w:rFonts w:ascii="Arial Narrow" w:hAnsi="Arial Narrow"/>
        </w:rPr>
        <w:t xml:space="preserve">, </w:t>
      </w:r>
      <w:r w:rsidRPr="009E01B0">
        <w:rPr>
          <w:rFonts w:ascii="Arial Narrow" w:hAnsi="Arial Narrow"/>
        </w:rPr>
        <w:t>Prior Written Notice</w:t>
      </w:r>
    </w:p>
    <w:p w:rsidR="004967C8" w:rsidRPr="00B871E1" w:rsidRDefault="004967C8" w:rsidP="004967C8">
      <w:pPr>
        <w:spacing w:after="0" w:line="240" w:lineRule="auto"/>
        <w:ind w:left="1080"/>
      </w:pPr>
    </w:p>
    <w:p w:rsidR="004967C8" w:rsidRDefault="004967C8" w:rsidP="004967C8">
      <w:pPr>
        <w:spacing w:after="0" w:line="240" w:lineRule="auto"/>
        <w:rPr>
          <w:rFonts w:ascii="Arial Narrow" w:hAnsi="Arial Narrow"/>
        </w:rPr>
      </w:pPr>
    </w:p>
    <w:p w:rsidR="004967C8" w:rsidRPr="00B871E1" w:rsidRDefault="004967C8" w:rsidP="004967C8">
      <w:pPr>
        <w:spacing w:after="0" w:line="240" w:lineRule="auto"/>
        <w:rPr>
          <w:rFonts w:ascii="Arial Narrow" w:hAnsi="Arial Narrow"/>
          <w:sz w:val="40"/>
          <w:szCs w:val="40"/>
        </w:rPr>
      </w:pPr>
      <w:r w:rsidRPr="00B871E1">
        <w:rPr>
          <w:rFonts w:ascii="Arial Narrow" w:hAnsi="Arial Narrow"/>
          <w:sz w:val="40"/>
          <w:szCs w:val="40"/>
        </w:rPr>
        <w:t>SLV BOCES Case Management guide components are listed below:</w:t>
      </w:r>
    </w:p>
    <w:p w:rsidR="004967C8" w:rsidRPr="007D4286" w:rsidRDefault="004967C8" w:rsidP="004967C8">
      <w:pPr>
        <w:spacing w:after="0" w:line="240" w:lineRule="auto"/>
      </w:pPr>
    </w:p>
    <w:p w:rsidR="004967C8" w:rsidRDefault="004967C8" w:rsidP="004967C8">
      <w:pPr>
        <w:numPr>
          <w:ilvl w:val="0"/>
          <w:numId w:val="3"/>
        </w:numPr>
        <w:ind w:right="-1170"/>
        <w:rPr>
          <w:rFonts w:cs="Helvetica Neue"/>
          <w:color w:val="4B4B4B"/>
        </w:rPr>
      </w:pPr>
      <w:r w:rsidRPr="00281F18">
        <w:rPr>
          <w:b/>
        </w:rPr>
        <w:t>Definition of Case Management</w:t>
      </w:r>
      <w:r w:rsidRPr="00C413EE">
        <w:t xml:space="preserve">- </w:t>
      </w:r>
      <w:r w:rsidRPr="00C413EE">
        <w:rPr>
          <w:rFonts w:cs="Helvetica Neue"/>
          <w:color w:val="4B4B4B"/>
        </w:rPr>
        <w:t xml:space="preserve">Case management is a </w:t>
      </w:r>
      <w:r>
        <w:rPr>
          <w:rFonts w:cs="Helvetica Neue"/>
          <w:color w:val="4B4B4B"/>
        </w:rPr>
        <w:t xml:space="preserve">designated person who has primary responsibility for the IEP process for the student including organizing and chairing IEP team meetings, providing notice to parents and team members, and maintaining documentation for IEP progress reports. The case manager leads a </w:t>
      </w:r>
      <w:r w:rsidRPr="00C413EE">
        <w:rPr>
          <w:rFonts w:cs="Helvetica Neue"/>
          <w:color w:val="4B4B4B"/>
        </w:rPr>
        <w:t>process that assesses, plans, implements, coordinates, monitors, and evaluates the options and services required to meet a students needs. It is characterized by advocacy, communication, and resource management and promotes quality interventions, educational supports and student outcomes.</w:t>
      </w:r>
      <w:r>
        <w:rPr>
          <w:rFonts w:cs="Helvetica Neue"/>
          <w:color w:val="4B4B4B"/>
        </w:rPr>
        <w:t xml:space="preserve"> Case managers in the San Luis Valley are our special education teachers. </w:t>
      </w: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erpetua Titling MT">
    <w:panose1 w:val="020205020605050208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3C9D"/>
    <w:multiLevelType w:val="hybridMultilevel"/>
    <w:tmpl w:val="00B2E630"/>
    <w:lvl w:ilvl="0" w:tplc="A50098A2">
      <w:start w:val="1"/>
      <w:numFmt w:val="bullet"/>
      <w:lvlText w:val="□"/>
      <w:lvlJc w:val="left"/>
      <w:pPr>
        <w:tabs>
          <w:tab w:val="num" w:pos="720"/>
        </w:tabs>
        <w:ind w:left="720" w:hanging="360"/>
      </w:pPr>
      <w:rPr>
        <w:rFonts w:ascii="Arial Narrow" w:hAnsi="Arial Narrow"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591C5627"/>
    <w:multiLevelType w:val="hybridMultilevel"/>
    <w:tmpl w:val="C4F6A87E"/>
    <w:lvl w:ilvl="0" w:tplc="A50098A2">
      <w:start w:val="1"/>
      <w:numFmt w:val="bullet"/>
      <w:lvlText w:val="□"/>
      <w:lvlJc w:val="left"/>
      <w:pPr>
        <w:tabs>
          <w:tab w:val="num" w:pos="720"/>
        </w:tabs>
        <w:ind w:left="720" w:hanging="360"/>
      </w:pPr>
      <w:rPr>
        <w:rFonts w:ascii="Arial Narrow" w:hAnsi="Arial Narro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2E678E"/>
    <w:multiLevelType w:val="hybridMultilevel"/>
    <w:tmpl w:val="1F0A148A"/>
    <w:lvl w:ilvl="0" w:tplc="A50098A2">
      <w:start w:val="1"/>
      <w:numFmt w:val="bullet"/>
      <w:lvlText w:val="□"/>
      <w:lvlJc w:val="left"/>
      <w:pPr>
        <w:tabs>
          <w:tab w:val="num" w:pos="720"/>
        </w:tabs>
        <w:ind w:left="720" w:hanging="360"/>
      </w:pPr>
      <w:rPr>
        <w:rFonts w:ascii="Arial Narrow" w:hAnsi="Arial Narro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C8"/>
    <w:rsid w:val="004967C8"/>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C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7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7C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C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7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7C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2337</Characters>
  <Application>Microsoft Macintosh Word</Application>
  <DocSecurity>0</DocSecurity>
  <Lines>59</Lines>
  <Paragraphs>61</Paragraphs>
  <ScaleCrop>false</ScaleCrop>
  <Company>San Luis Valley BOCES</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2014-06-20T15:23:00Z</dcterms:created>
  <dcterms:modified xsi:type="dcterms:W3CDTF">2014-06-20T15:24:00Z</dcterms:modified>
</cp:coreProperties>
</file>