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91F32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>File: DB</w:t>
      </w:r>
    </w:p>
    <w:p w14:paraId="31EE8DBE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</w:p>
    <w:p w14:paraId="27C07DED" w14:textId="77777777" w:rsidR="003D59C9" w:rsidRDefault="003D59C9" w:rsidP="003D59C9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3D59C9">
        <w:rPr>
          <w:rFonts w:cs="Times New Roman"/>
          <w:b/>
        </w:rPr>
        <w:t>Annual Budget</w:t>
      </w:r>
    </w:p>
    <w:p w14:paraId="1EABC704" w14:textId="77777777" w:rsidR="003D59C9" w:rsidRPr="003D59C9" w:rsidRDefault="003D59C9" w:rsidP="003D59C9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3EFE96BB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 w:rsidRPr="003D59C9">
        <w:rPr>
          <w:rFonts w:cs="Times New Roman"/>
        </w:rPr>
        <w:t>The annual budget is the financial plan for the operation of the BOCES. It provides</w:t>
      </w:r>
    </w:p>
    <w:p w14:paraId="47E95934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 w:rsidRPr="003D59C9">
        <w:rPr>
          <w:rFonts w:cs="Times New Roman"/>
        </w:rPr>
        <w:t>the framework for both expenditures and revenues for the year and future years and</w:t>
      </w:r>
      <w:r>
        <w:rPr>
          <w:rFonts w:cs="Times New Roman"/>
        </w:rPr>
        <w:t xml:space="preserve"> </w:t>
      </w:r>
      <w:r w:rsidRPr="003D59C9">
        <w:rPr>
          <w:rFonts w:cs="Times New Roman"/>
        </w:rPr>
        <w:t>translates into financial terms the programs and objectives of the BOCES.</w:t>
      </w:r>
    </w:p>
    <w:p w14:paraId="5E0FEE7D" w14:textId="77777777" w:rsid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43D2002" w14:textId="77777777" w:rsid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3D59C9">
        <w:rPr>
          <w:rFonts w:cs="Times New Roman"/>
          <w:b/>
        </w:rPr>
        <w:t>Budget process</w:t>
      </w:r>
    </w:p>
    <w:p w14:paraId="5801A419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520135D6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 w:rsidRPr="003D59C9">
        <w:rPr>
          <w:rFonts w:cs="Times New Roman"/>
        </w:rPr>
        <w:t>In accordance with state law, the budget shall be presented in a summary format</w:t>
      </w:r>
    </w:p>
    <w:p w14:paraId="137B3C05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 w:rsidRPr="003D59C9">
        <w:rPr>
          <w:rFonts w:cs="Times New Roman"/>
        </w:rPr>
        <w:t>that is understandable by any layperson. The budget format shall itemize</w:t>
      </w:r>
      <w:r>
        <w:rPr>
          <w:rFonts w:cs="Times New Roman"/>
        </w:rPr>
        <w:t xml:space="preserve"> </w:t>
      </w:r>
      <w:r w:rsidRPr="003D59C9">
        <w:rPr>
          <w:rFonts w:cs="Times New Roman"/>
        </w:rPr>
        <w:t>expenditures of the BOCES by fund. It shall describe the expenditure and show the</w:t>
      </w:r>
    </w:p>
    <w:p w14:paraId="79BA4728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 w:rsidRPr="003D59C9">
        <w:rPr>
          <w:rFonts w:cs="Times New Roman"/>
        </w:rPr>
        <w:t>amount budgeted for the current fiscal year and the amount budgeted for the</w:t>
      </w:r>
      <w:r>
        <w:rPr>
          <w:rFonts w:cs="Times New Roman"/>
        </w:rPr>
        <w:t xml:space="preserve"> </w:t>
      </w:r>
      <w:r w:rsidRPr="003D59C9">
        <w:rPr>
          <w:rFonts w:cs="Times New Roman"/>
        </w:rPr>
        <w:t>ensuing fiscal year. When budgeting for any enterprise funds, the BOCES shall use</w:t>
      </w:r>
      <w:r>
        <w:rPr>
          <w:rFonts w:cs="Times New Roman"/>
        </w:rPr>
        <w:t xml:space="preserve"> </w:t>
      </w:r>
      <w:r w:rsidRPr="003D59C9">
        <w:rPr>
          <w:rFonts w:cs="Times New Roman"/>
        </w:rPr>
        <w:t>the full accrual basis of accounting.</w:t>
      </w:r>
    </w:p>
    <w:p w14:paraId="7A48C456" w14:textId="77777777" w:rsid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4A10C5B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 w:rsidRPr="003D59C9">
        <w:rPr>
          <w:rFonts w:cs="Times New Roman"/>
        </w:rPr>
        <w:t>The budget shall include a uniform summary sheet for each fund administered by the</w:t>
      </w:r>
      <w:r>
        <w:rPr>
          <w:rFonts w:cs="Times New Roman"/>
        </w:rPr>
        <w:t xml:space="preserve"> </w:t>
      </w:r>
      <w:r w:rsidRPr="003D59C9">
        <w:rPr>
          <w:rFonts w:cs="Times New Roman"/>
        </w:rPr>
        <w:t>BOCES that details the beginning fund balance and anticipated ending fund balance</w:t>
      </w:r>
      <w:r>
        <w:rPr>
          <w:rFonts w:cs="Times New Roman"/>
        </w:rPr>
        <w:t xml:space="preserve"> </w:t>
      </w:r>
      <w:r w:rsidRPr="003D59C9">
        <w:rPr>
          <w:rFonts w:cs="Times New Roman"/>
        </w:rPr>
        <w:t>for the budget year; the anticipated fund revenues for the budget year; the</w:t>
      </w:r>
    </w:p>
    <w:p w14:paraId="4163D54D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3D59C9">
        <w:rPr>
          <w:rFonts w:cs="Times New Roman"/>
        </w:rPr>
        <w:t>anticipated</w:t>
      </w:r>
      <w:proofErr w:type="gramEnd"/>
      <w:r w:rsidRPr="003D59C9">
        <w:rPr>
          <w:rFonts w:cs="Times New Roman"/>
        </w:rPr>
        <w:t xml:space="preserve"> transfers and allocations that will occur to and from the fund during the</w:t>
      </w:r>
      <w:r>
        <w:rPr>
          <w:rFonts w:cs="Times New Roman"/>
        </w:rPr>
        <w:t xml:space="preserve"> </w:t>
      </w:r>
      <w:r w:rsidRPr="003D59C9">
        <w:rPr>
          <w:rFonts w:cs="Times New Roman"/>
        </w:rPr>
        <w:t>budget year; the anticipated expenditures that will be made from the fund during the</w:t>
      </w:r>
      <w:r>
        <w:rPr>
          <w:rFonts w:cs="Times New Roman"/>
        </w:rPr>
        <w:t xml:space="preserve"> </w:t>
      </w:r>
      <w:r w:rsidRPr="003D59C9">
        <w:rPr>
          <w:rFonts w:cs="Times New Roman"/>
        </w:rPr>
        <w:t>budget year; and the amount of reserves in the fund.</w:t>
      </w:r>
    </w:p>
    <w:p w14:paraId="2DFAC770" w14:textId="77777777" w:rsid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8C1CCB6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 w:rsidRPr="003D59C9">
        <w:rPr>
          <w:rFonts w:cs="Times New Roman"/>
        </w:rPr>
        <w:t>The Board assigns to the executive director overall responsibility for annual budget</w:t>
      </w:r>
    </w:p>
    <w:p w14:paraId="0DD71E5D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 w:rsidRPr="003D59C9">
        <w:rPr>
          <w:rFonts w:cs="Times New Roman"/>
        </w:rPr>
        <w:t>preparation, budget presentation and budget administration. As part of the executive</w:t>
      </w:r>
      <w:r>
        <w:rPr>
          <w:rFonts w:cs="Times New Roman"/>
        </w:rPr>
        <w:t xml:space="preserve"> </w:t>
      </w:r>
      <w:r w:rsidRPr="003D59C9">
        <w:rPr>
          <w:rFonts w:cs="Times New Roman"/>
        </w:rPr>
        <w:t>director’s budget responsibility, the executive director shall cause to be prepared a</w:t>
      </w:r>
      <w:r>
        <w:rPr>
          <w:rFonts w:cs="Times New Roman"/>
        </w:rPr>
        <w:t xml:space="preserve"> </w:t>
      </w:r>
      <w:r w:rsidRPr="003D59C9">
        <w:rPr>
          <w:rFonts w:cs="Times New Roman"/>
        </w:rPr>
        <w:t>budget preparation calendar that shall ensure all deadlines established by law for</w:t>
      </w:r>
      <w:r>
        <w:rPr>
          <w:rFonts w:cs="Times New Roman"/>
        </w:rPr>
        <w:t xml:space="preserve"> </w:t>
      </w:r>
      <w:r w:rsidRPr="003D59C9">
        <w:rPr>
          <w:rFonts w:cs="Times New Roman"/>
        </w:rPr>
        <w:t>budget presentation, hearings and adoption are met by the BOCES. The executive</w:t>
      </w:r>
      <w:r>
        <w:rPr>
          <w:rFonts w:cs="Times New Roman"/>
        </w:rPr>
        <w:t xml:space="preserve"> </w:t>
      </w:r>
      <w:r w:rsidRPr="003D59C9">
        <w:rPr>
          <w:rFonts w:cs="Times New Roman"/>
        </w:rPr>
        <w:t>director shall have authority to delegate portions of his or her budget responsibility to</w:t>
      </w:r>
      <w:r>
        <w:rPr>
          <w:rFonts w:cs="Times New Roman"/>
        </w:rPr>
        <w:t xml:space="preserve"> </w:t>
      </w:r>
      <w:r w:rsidRPr="003D59C9">
        <w:rPr>
          <w:rFonts w:cs="Times New Roman"/>
        </w:rPr>
        <w:t>the business manager of the BOCES.</w:t>
      </w:r>
    </w:p>
    <w:p w14:paraId="10B48AC3" w14:textId="77777777" w:rsid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93C1E6C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 w:rsidRPr="003D59C9">
        <w:rPr>
          <w:rFonts w:cs="Times New Roman"/>
        </w:rPr>
        <w:t>The budget prepared and presented by the executive director shall be consistent</w:t>
      </w:r>
    </w:p>
    <w:p w14:paraId="12680F4C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 w:rsidRPr="003D59C9">
        <w:rPr>
          <w:rFonts w:cs="Times New Roman"/>
        </w:rPr>
        <w:t>with the Board’s budget priorities established in policy DBD.</w:t>
      </w:r>
    </w:p>
    <w:p w14:paraId="3D1F860A" w14:textId="77777777" w:rsid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D6606A5" w14:textId="77777777" w:rsid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E19E00D" w14:textId="105B07C8" w:rsidR="003D59C9" w:rsidRPr="003D59C9" w:rsidRDefault="00283B8F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20, 2016</w:t>
      </w:r>
      <w:bookmarkStart w:id="0" w:name="_GoBack"/>
      <w:bookmarkEnd w:id="0"/>
    </w:p>
    <w:p w14:paraId="51B53328" w14:textId="77777777" w:rsid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F78569B" w14:textId="77777777" w:rsid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69F4051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 w:rsidRPr="003D59C9">
        <w:rPr>
          <w:rFonts w:cs="Times New Roman"/>
        </w:rPr>
        <w:t xml:space="preserve">LEGAL REFS.: </w:t>
      </w:r>
      <w:r>
        <w:rPr>
          <w:rFonts w:cs="Times New Roman"/>
        </w:rPr>
        <w:tab/>
      </w:r>
      <w:r w:rsidRPr="003D59C9">
        <w:rPr>
          <w:rFonts w:cs="Times New Roman"/>
        </w:rPr>
        <w:t xml:space="preserve">C.R.S. 22-5-106 (financing, budgeting and accounting, BOCES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>follow school</w:t>
      </w:r>
      <w:r>
        <w:rPr>
          <w:rFonts w:cs="Times New Roman"/>
        </w:rPr>
        <w:t xml:space="preserve"> </w:t>
      </w:r>
      <w:r w:rsidRPr="003D59C9">
        <w:rPr>
          <w:rFonts w:cs="Times New Roman"/>
        </w:rPr>
        <w:t>district budget laws, as applicable)</w:t>
      </w:r>
    </w:p>
    <w:p w14:paraId="16732C42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>C.R.S. 22-5-107 (duties of board)</w:t>
      </w:r>
    </w:p>
    <w:p w14:paraId="5B75A8BB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>C.R.S. 22-5-108 (powers of board)</w:t>
      </w:r>
    </w:p>
    <w:p w14:paraId="4BD6F615" w14:textId="550218FB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 xml:space="preserve">C.R.S. 22-11-302 (1)(a) (district accountability committee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>budget</w:t>
      </w:r>
      <w:r>
        <w:rPr>
          <w:rFonts w:cs="Times New Roman"/>
        </w:rPr>
        <w:t xml:space="preserve"> </w:t>
      </w:r>
      <w:r w:rsidR="00652843">
        <w:rPr>
          <w:rFonts w:cs="Times New Roman"/>
        </w:rPr>
        <w:t>recommendations)</w:t>
      </w:r>
    </w:p>
    <w:p w14:paraId="10AB6FE7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 xml:space="preserve">C.R.S. 22-32-109 (1)(b) (board duty to adopt policies for the </w:t>
      </w:r>
      <w:r>
        <w:rPr>
          <w:rFonts w:cs="Times New Roman"/>
        </w:rPr>
        <w:tab/>
      </w:r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>efficient</w:t>
      </w:r>
      <w:r>
        <w:rPr>
          <w:rFonts w:cs="Times New Roman"/>
        </w:rPr>
        <w:t xml:space="preserve"> </w:t>
      </w:r>
      <w:r w:rsidRPr="003D59C9">
        <w:rPr>
          <w:rFonts w:cs="Times New Roman"/>
        </w:rPr>
        <w:t>administration of the BOCES)</w:t>
      </w:r>
    </w:p>
    <w:p w14:paraId="7C944931" w14:textId="44A63143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 xml:space="preserve">C.R.S. 22-44-101 through 112 (1), (2) (school district budget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>law, Board</w:t>
      </w:r>
      <w:r>
        <w:rPr>
          <w:rFonts w:cs="Times New Roman"/>
        </w:rPr>
        <w:t xml:space="preserve"> </w:t>
      </w:r>
      <w:r w:rsidRPr="003D59C9">
        <w:rPr>
          <w:rFonts w:cs="Times New Roman"/>
        </w:rPr>
        <w:t>shall cause a pro</w:t>
      </w:r>
      <w:r>
        <w:rPr>
          <w:rFonts w:cs="Times New Roman"/>
        </w:rPr>
        <w:t xml:space="preserve">posed budget to be prepared and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>shall adopt a budget for each</w:t>
      </w:r>
      <w:r w:rsidR="009E2635">
        <w:rPr>
          <w:rFonts w:cs="Times New Roman"/>
        </w:rPr>
        <w:t xml:space="preserve"> </w:t>
      </w:r>
      <w:r w:rsidRPr="003D59C9">
        <w:rPr>
          <w:rFonts w:cs="Times New Roman"/>
        </w:rPr>
        <w:t>fiscal year)</w:t>
      </w:r>
    </w:p>
    <w:p w14:paraId="5FC8E0D3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 xml:space="preserve">C.R.S. 22-44-113 through 22-44-115 (1), (3) (school district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>budget law,</w:t>
      </w:r>
      <w:r>
        <w:rPr>
          <w:rFonts w:cs="Times New Roman"/>
        </w:rPr>
        <w:t xml:space="preserve"> </w:t>
      </w:r>
      <w:r w:rsidRPr="003D59C9">
        <w:rPr>
          <w:rFonts w:cs="Times New Roman"/>
        </w:rPr>
        <w:t>borrowing and expenditures)</w:t>
      </w:r>
    </w:p>
    <w:p w14:paraId="3865DA97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 xml:space="preserve">C.R.S. 22-44-115.5 through 119 (school district budget law,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>fiscal</w:t>
      </w:r>
      <w:r>
        <w:rPr>
          <w:rFonts w:cs="Times New Roman"/>
        </w:rPr>
        <w:t xml:space="preserve"> </w:t>
      </w:r>
      <w:r w:rsidRPr="003D59C9">
        <w:rPr>
          <w:rFonts w:cs="Times New Roman"/>
        </w:rPr>
        <w:t>emergency and reserves)</w:t>
      </w:r>
    </w:p>
    <w:p w14:paraId="367FA7D3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 xml:space="preserve">C.R.S. 22-44-301 et seq. (Public School Financial Transparency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>Act)</w:t>
      </w:r>
    </w:p>
    <w:p w14:paraId="5A5622BE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 xml:space="preserve">C.R.S. 29-1-103 (3) (budget to reflect lease-purchase payment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>obligations)</w:t>
      </w:r>
    </w:p>
    <w:p w14:paraId="357FABBD" w14:textId="77777777" w:rsid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DEC4DE5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 w:rsidRPr="003D59C9">
        <w:rPr>
          <w:rFonts w:cs="Times New Roman"/>
        </w:rPr>
        <w:t xml:space="preserve">CROSS REFS.: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>DAB*,  Financial Administration</w:t>
      </w:r>
    </w:p>
    <w:p w14:paraId="6D753B08" w14:textId="77777777" w:rsidR="003D59C9" w:rsidRPr="003D59C9" w:rsidRDefault="003D59C9" w:rsidP="003D59C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59C9">
        <w:rPr>
          <w:rFonts w:cs="Times New Roman"/>
        </w:rPr>
        <w:t xml:space="preserve">DB </w:t>
      </w:r>
      <w:proofErr w:type="spellStart"/>
      <w:r w:rsidRPr="003D59C9">
        <w:rPr>
          <w:rFonts w:cs="Times New Roman"/>
        </w:rPr>
        <w:t>subcodes</w:t>
      </w:r>
      <w:proofErr w:type="spellEnd"/>
      <w:r w:rsidRPr="003D59C9">
        <w:rPr>
          <w:rFonts w:cs="Times New Roman"/>
        </w:rPr>
        <w:t>,  (all relate to the budget)</w:t>
      </w:r>
    </w:p>
    <w:p w14:paraId="45669106" w14:textId="77777777" w:rsidR="003063AA" w:rsidRPr="003D59C9" w:rsidRDefault="003063AA" w:rsidP="003D59C9"/>
    <w:sectPr w:rsidR="003063AA" w:rsidRPr="003D59C9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C9"/>
    <w:rsid w:val="00283B8F"/>
    <w:rsid w:val="003063AA"/>
    <w:rsid w:val="003D59C9"/>
    <w:rsid w:val="00652843"/>
    <w:rsid w:val="009E2635"/>
    <w:rsid w:val="00F0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4911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2503</Characters>
  <Application>Microsoft Macintosh Word</Application>
  <DocSecurity>0</DocSecurity>
  <Lines>20</Lines>
  <Paragraphs>5</Paragraphs>
  <ScaleCrop>false</ScaleCrop>
  <Company>San Luis Valley BOCES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5</cp:revision>
  <dcterms:created xsi:type="dcterms:W3CDTF">2014-09-14T18:17:00Z</dcterms:created>
  <dcterms:modified xsi:type="dcterms:W3CDTF">2016-01-24T12:52:00Z</dcterms:modified>
</cp:coreProperties>
</file>