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1EE4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>File: DFA/DFAA</w:t>
      </w:r>
    </w:p>
    <w:p w14:paraId="5580CC2C" w14:textId="77777777" w:rsidR="00B62FF7" w:rsidRDefault="00B62FF7" w:rsidP="00B62FF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4925886E" w14:textId="77777777" w:rsidR="00B62FF7" w:rsidRPr="00B62FF7" w:rsidRDefault="00B62FF7" w:rsidP="00B62FF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B62FF7">
        <w:rPr>
          <w:rFonts w:cs="Times New Roman"/>
          <w:b/>
        </w:rPr>
        <w:t>Revenues from Investments/Use of Surplus Funds</w:t>
      </w:r>
    </w:p>
    <w:p w14:paraId="3FEFB2A3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9A4E669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The Board recognizes the importance of prudent and profitable investment of</w:t>
      </w:r>
    </w:p>
    <w:p w14:paraId="76284A1E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BOCES moneys and its responsibility in overseeing this part of the BOCES financial</w:t>
      </w:r>
    </w:p>
    <w:p w14:paraId="02B06A65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program.</w:t>
      </w:r>
    </w:p>
    <w:p w14:paraId="44EE6428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885269B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This policy shall apply to the investment of all financial assets and all funds of the</w:t>
      </w:r>
    </w:p>
    <w:p w14:paraId="7726CB24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62FF7">
        <w:rPr>
          <w:rFonts w:cs="Times New Roman"/>
        </w:rPr>
        <w:t>BOCES over which the Board exercises financial control.</w:t>
      </w:r>
      <w:proofErr w:type="gramEnd"/>
      <w:r w:rsidRPr="00B62FF7">
        <w:rPr>
          <w:rFonts w:cs="Times New Roman"/>
        </w:rPr>
        <w:t xml:space="preserve"> In order to effectively make</w:t>
      </w:r>
    </w:p>
    <w:p w14:paraId="264C252E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use of the BOCES cash resources, all moneys shall be pooled into one investment</w:t>
      </w:r>
    </w:p>
    <w:p w14:paraId="523B2E5A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account and accounted for separately. The investment income derived from this</w:t>
      </w:r>
    </w:p>
    <w:p w14:paraId="436E07F7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account shall be distributed to the BOCES administration account as directed by the</w:t>
      </w:r>
    </w:p>
    <w:p w14:paraId="6F345D54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62FF7">
        <w:rPr>
          <w:rFonts w:cs="Times New Roman"/>
        </w:rPr>
        <w:t>Board in accordance with state law.</w:t>
      </w:r>
      <w:proofErr w:type="gramEnd"/>
    </w:p>
    <w:p w14:paraId="46ED4E1C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DA65E9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All BOCES funds allocated to a specific use, but temporarily not needed, shall be</w:t>
      </w:r>
    </w:p>
    <w:p w14:paraId="0D84580A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invested by the executive director or designee in accordance with state law and in a</w:t>
      </w:r>
    </w:p>
    <w:p w14:paraId="29323A8C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manner designed to accomplish the following objectives: safety, liquidity and yield,</w:t>
      </w:r>
    </w:p>
    <w:p w14:paraId="06FCC835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62FF7">
        <w:rPr>
          <w:rFonts w:cs="Times New Roman"/>
        </w:rPr>
        <w:t>in</w:t>
      </w:r>
      <w:proofErr w:type="gramEnd"/>
      <w:r w:rsidRPr="00B62FF7">
        <w:rPr>
          <w:rFonts w:cs="Times New Roman"/>
        </w:rPr>
        <w:t xml:space="preserve"> that order of importance.</w:t>
      </w:r>
    </w:p>
    <w:p w14:paraId="2A994756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5527CEA" w14:textId="77777777" w:rsidR="00B62FF7" w:rsidRDefault="00B62FF7" w:rsidP="00B62F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Safety. Investments shall be undertaken in a manner that seeks to preserve the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capital in the overall investment program, through the mitigation of credit risk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and interest rate risk.</w:t>
      </w:r>
    </w:p>
    <w:p w14:paraId="588F1292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C844A8" w14:textId="77777777" w:rsidR="00B62FF7" w:rsidRPr="00B62FF7" w:rsidRDefault="00B62FF7" w:rsidP="00B62F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Liquidity. The investment portfolio shall remain sufficiently liquid to meet all</w:t>
      </w:r>
    </w:p>
    <w:p w14:paraId="34FE9DCD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B62FF7">
        <w:rPr>
          <w:rFonts w:cs="Times New Roman"/>
        </w:rPr>
        <w:t xml:space="preserve">operating requirements that may reasonably be anticipated, through </w:t>
      </w:r>
      <w:r>
        <w:rPr>
          <w:rFonts w:cs="Times New Roman"/>
        </w:rPr>
        <w:tab/>
      </w:r>
      <w:r w:rsidRPr="00B62FF7">
        <w:rPr>
          <w:rFonts w:cs="Times New Roman"/>
        </w:rPr>
        <w:t>matching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 xml:space="preserve">of maturity dates to cash flow needs, investment in securities that </w:t>
      </w:r>
      <w:r>
        <w:rPr>
          <w:rFonts w:cs="Times New Roman"/>
        </w:rPr>
        <w:tab/>
      </w:r>
      <w:r w:rsidRPr="00B62FF7">
        <w:rPr>
          <w:rFonts w:cs="Times New Roman"/>
        </w:rPr>
        <w:t>have active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 xml:space="preserve">secondary markets, and investment of a substantial portion of </w:t>
      </w:r>
      <w:r>
        <w:rPr>
          <w:rFonts w:cs="Times New Roman"/>
        </w:rPr>
        <w:tab/>
      </w:r>
      <w:r w:rsidRPr="00B62FF7">
        <w:rPr>
          <w:rFonts w:cs="Times New Roman"/>
        </w:rPr>
        <w:t>assets in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 xml:space="preserve">instruments that have same day liquidity and a constant dollar </w:t>
      </w:r>
      <w:r>
        <w:rPr>
          <w:rFonts w:cs="Times New Roman"/>
        </w:rPr>
        <w:tab/>
      </w:r>
      <w:r w:rsidRPr="00B62FF7">
        <w:rPr>
          <w:rFonts w:cs="Times New Roman"/>
        </w:rPr>
        <w:t>value per share.</w:t>
      </w:r>
    </w:p>
    <w:p w14:paraId="26F880DD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746B63" w14:textId="77777777" w:rsidR="00B62FF7" w:rsidRPr="00B62FF7" w:rsidRDefault="00B62FF7" w:rsidP="00B62F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Yield. Subject to the need for safety and liquidity, the investment program shall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seek to attain a market rate of return.</w:t>
      </w:r>
    </w:p>
    <w:p w14:paraId="5B488B48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9142C97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The intent of the BOCES is to support financial institutions located within BOCES</w:t>
      </w:r>
    </w:p>
    <w:p w14:paraId="65FF51C1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boundaries. Investments in institutions located outside of the BOCES boundaries will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be made when competitive rates or lack of collateral available from local financial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institutions make this decision in the best interest of the BOCES or when investment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timing requires investment alternatives and short-term yields not conveniently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available in the BOCES. If the BOCES is contemplating any investment or deposit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outside of the state, the Board shall be notified. The Board shall seek legal advice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prior to any such investment or deposit.</w:t>
      </w:r>
    </w:p>
    <w:p w14:paraId="0EF03C19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13E3C89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On a periodic basis, the executive director or designee will determine the cash</w:t>
      </w:r>
    </w:p>
    <w:p w14:paraId="3BA5291D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62FF7">
        <w:rPr>
          <w:rFonts w:cs="Times New Roman"/>
        </w:rPr>
        <w:t>needs</w:t>
      </w:r>
      <w:proofErr w:type="gramEnd"/>
      <w:r w:rsidRPr="00B62FF7">
        <w:rPr>
          <w:rFonts w:cs="Times New Roman"/>
        </w:rPr>
        <w:t xml:space="preserve"> of the BOCES for the ensuing period. The amount so determined shall be</w:t>
      </w:r>
    </w:p>
    <w:p w14:paraId="4A27131A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retained in the operating account(s) of the BOCES. The operating account(s) may be</w:t>
      </w:r>
    </w:p>
    <w:p w14:paraId="5814B6EB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lastRenderedPageBreak/>
        <w:t>opened at any financial institution that qualifies as an eligible public depository in</w:t>
      </w:r>
    </w:p>
    <w:p w14:paraId="2DBA337C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62FF7">
        <w:rPr>
          <w:rFonts w:cs="Times New Roman"/>
        </w:rPr>
        <w:t>accordance</w:t>
      </w:r>
      <w:proofErr w:type="gramEnd"/>
      <w:r w:rsidRPr="00B62FF7">
        <w:rPr>
          <w:rFonts w:cs="Times New Roman"/>
        </w:rPr>
        <w:t xml:space="preserve"> with state law. Financial institutions must also comply with all legal</w:t>
      </w:r>
    </w:p>
    <w:p w14:paraId="5B55D4EB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B62FF7">
        <w:rPr>
          <w:rFonts w:cs="Times New Roman"/>
        </w:rPr>
        <w:t>requirements</w:t>
      </w:r>
      <w:proofErr w:type="gramEnd"/>
      <w:r w:rsidRPr="00B62FF7">
        <w:rPr>
          <w:rFonts w:cs="Times New Roman"/>
        </w:rPr>
        <w:t xml:space="preserve"> regarding the pledging of collateral for public funds.</w:t>
      </w:r>
    </w:p>
    <w:p w14:paraId="06D6100B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D323336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Funds that are not required to meet the cash needs of the ensuing period may be</w:t>
      </w:r>
    </w:p>
    <w:p w14:paraId="69E387D0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invested in legally permissible investments.</w:t>
      </w:r>
    </w:p>
    <w:p w14:paraId="58DE37AA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00A4D52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>The Board shall be kept informed of investments and yields through regular semiannual</w:t>
      </w:r>
      <w:r w:rsidR="00BB1D9E">
        <w:rPr>
          <w:rFonts w:cs="Times New Roman"/>
        </w:rPr>
        <w:t xml:space="preserve"> </w:t>
      </w:r>
      <w:r w:rsidRPr="00B62FF7">
        <w:rPr>
          <w:rFonts w:cs="Times New Roman"/>
        </w:rPr>
        <w:t>reports. These reports shall be formatted in a manner that allows the Board</w:t>
      </w:r>
      <w:r w:rsidR="00BB1D9E">
        <w:rPr>
          <w:rFonts w:cs="Times New Roman"/>
        </w:rPr>
        <w:t xml:space="preserve"> </w:t>
      </w:r>
      <w:r w:rsidRPr="00B62FF7">
        <w:rPr>
          <w:rFonts w:cs="Times New Roman"/>
        </w:rPr>
        <w:t>to evaluate the success of its investment practices in light of its stated objectives.</w:t>
      </w:r>
    </w:p>
    <w:p w14:paraId="06453775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86D2FDD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D1F923" w14:textId="721C3261" w:rsidR="00B62FF7" w:rsidRPr="00B62FF7" w:rsidRDefault="00CF6195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354FBB56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D2A364" w14:textId="77777777" w:rsid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D3024F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62FF7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B62FF7">
        <w:rPr>
          <w:rFonts w:cs="Times New Roman"/>
        </w:rPr>
        <w:t>C.R.S. 11-10.5-101 et seq. (Public Deposit Protection Act)</w:t>
      </w:r>
    </w:p>
    <w:p w14:paraId="170C2F0C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 xml:space="preserve">C.R.S. 11-47-101 et seq. (Savings and Loan Association Public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>Deposit</w:t>
      </w:r>
      <w:r>
        <w:rPr>
          <w:rFonts w:cs="Times New Roman"/>
        </w:rPr>
        <w:t xml:space="preserve"> </w:t>
      </w:r>
      <w:r w:rsidRPr="00B62FF7">
        <w:rPr>
          <w:rFonts w:cs="Times New Roman"/>
        </w:rPr>
        <w:t>Protection Act)</w:t>
      </w:r>
    </w:p>
    <w:p w14:paraId="4975A87E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>C.R.S. 22-5-108 (1)(g) (power to invest funds)</w:t>
      </w:r>
    </w:p>
    <w:p w14:paraId="41CDBF0B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>C.R.S. 24-75-601 et seq. (public funds – legal investments)</w:t>
      </w:r>
    </w:p>
    <w:p w14:paraId="0D26D799" w14:textId="77777777" w:rsidR="00B62FF7" w:rsidRPr="00B62FF7" w:rsidRDefault="00B62FF7" w:rsidP="00B62FF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 xml:space="preserve">C.R.S. 24-75-701 et seq. (investment funds – local government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2FF7">
        <w:rPr>
          <w:rFonts w:cs="Times New Roman"/>
        </w:rPr>
        <w:t>pooling)</w:t>
      </w:r>
    </w:p>
    <w:p w14:paraId="2629D0D1" w14:textId="77777777" w:rsidR="003063AA" w:rsidRPr="00B62FF7" w:rsidRDefault="003063AA" w:rsidP="00B62FF7"/>
    <w:sectPr w:rsidR="003063AA" w:rsidRPr="00B62FF7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4926"/>
    <w:multiLevelType w:val="hybridMultilevel"/>
    <w:tmpl w:val="48AA1AF2"/>
    <w:lvl w:ilvl="0" w:tplc="62DC1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6548"/>
    <w:multiLevelType w:val="hybridMultilevel"/>
    <w:tmpl w:val="C982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F7"/>
    <w:rsid w:val="003063AA"/>
    <w:rsid w:val="00B62FF7"/>
    <w:rsid w:val="00BB1D9E"/>
    <w:rsid w:val="00C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D1D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3013</Characters>
  <Application>Microsoft Macintosh Word</Application>
  <DocSecurity>0</DocSecurity>
  <Lines>25</Lines>
  <Paragraphs>7</Paragraphs>
  <ScaleCrop>false</ScaleCrop>
  <Company>San Luis Valley BOCES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2014-09-14T19:19:00Z</dcterms:created>
  <dcterms:modified xsi:type="dcterms:W3CDTF">2016-01-24T12:58:00Z</dcterms:modified>
</cp:coreProperties>
</file>