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82A46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A7A5A">
        <w:rPr>
          <w:rFonts w:cs="Times New Roman"/>
        </w:rPr>
        <w:t>File: DJB*</w:t>
      </w:r>
    </w:p>
    <w:p w14:paraId="6C7A6F9B" w14:textId="77777777" w:rsid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01885A5" w14:textId="77777777" w:rsidR="004A7A5A" w:rsidRDefault="004A7A5A" w:rsidP="004A7A5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Federal Procurement</w:t>
      </w:r>
    </w:p>
    <w:p w14:paraId="37CBD9FE" w14:textId="77777777" w:rsid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276B0F4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A7A5A">
        <w:rPr>
          <w:rFonts w:cs="Times New Roman"/>
        </w:rPr>
        <w:t>This policy and its accompanying regulation shall apply to the purchase of services,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supplies, equipment or other property with federal funds that are subject to the</w:t>
      </w:r>
    </w:p>
    <w:p w14:paraId="3E6F45A6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4A7A5A">
        <w:rPr>
          <w:rFonts w:cs="Times New Roman"/>
        </w:rPr>
        <w:t>federal</w:t>
      </w:r>
      <w:proofErr w:type="gramEnd"/>
      <w:r w:rsidRPr="004A7A5A">
        <w:rPr>
          <w:rFonts w:cs="Times New Roman"/>
        </w:rPr>
        <w:t xml:space="preserve"> Uniform Grant Guidance (UGG) and other applicable federal law, including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but not limited to the Education Department General Administration Regulations</w:t>
      </w:r>
    </w:p>
    <w:p w14:paraId="4DCFD64F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4A7A5A">
        <w:rPr>
          <w:rFonts w:cs="Times New Roman"/>
        </w:rPr>
        <w:t>(EDGAR) and the United States Department of Agriculture (USDA) regulations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governing school food service programs.</w:t>
      </w:r>
      <w:proofErr w:type="gramEnd"/>
      <w:r w:rsidRPr="004A7A5A">
        <w:rPr>
          <w:rFonts w:cs="Times New Roman"/>
        </w:rPr>
        <w:t xml:space="preserve"> In the event this policy or its accompanying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regulation conflict or are otherwise inconsistent with mandatory provisions of the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UGG, EDGAR or other applicable federal law, the mandatory provisions of such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laws shall control.</w:t>
      </w:r>
    </w:p>
    <w:p w14:paraId="395D68D8" w14:textId="77777777" w:rsid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F8BFFA2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A7A5A">
        <w:rPr>
          <w:rFonts w:cs="Times New Roman"/>
        </w:rPr>
        <w:t xml:space="preserve">BOCES employees shall follow Board policy concerning </w:t>
      </w:r>
      <w:proofErr w:type="gramStart"/>
      <w:r w:rsidRPr="004A7A5A">
        <w:rPr>
          <w:rFonts w:cs="Times New Roman"/>
        </w:rPr>
        <w:t>employee purchasing</w:t>
      </w:r>
      <w:proofErr w:type="gramEnd"/>
      <w:r>
        <w:rPr>
          <w:rFonts w:cs="Times New Roman"/>
        </w:rPr>
        <w:t xml:space="preserve"> </w:t>
      </w:r>
      <w:r w:rsidRPr="004A7A5A">
        <w:rPr>
          <w:rFonts w:cs="Times New Roman"/>
        </w:rPr>
        <w:t>authority when making any purchase with federal funds and shall obtain prior Board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approval in those instances when it is required by Board policy. BOCES employees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shall also follow applicable state law and Board policy concerning competitive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bidding, to the extent state law and/or Board policy establish additional requirements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that are not inconsistent with this policy and its accompanying regulation.</w:t>
      </w:r>
    </w:p>
    <w:p w14:paraId="48DAC989" w14:textId="77777777" w:rsid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C7264E4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4A7A5A">
        <w:rPr>
          <w:rFonts w:cs="Times New Roman"/>
          <w:b/>
        </w:rPr>
        <w:t>Micro-purchases (less than $3,500)</w:t>
      </w:r>
    </w:p>
    <w:p w14:paraId="1B952352" w14:textId="77777777" w:rsid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378C5E0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A7A5A">
        <w:rPr>
          <w:rFonts w:cs="Times New Roman"/>
        </w:rPr>
        <w:t>A “micro-purchase” is a purchase that, in an aggregate amount, is less than $3,500.</w:t>
      </w:r>
    </w:p>
    <w:p w14:paraId="0B4BE7FD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A7A5A">
        <w:rPr>
          <w:rFonts w:cs="Times New Roman"/>
        </w:rPr>
        <w:t xml:space="preserve">Micro-purchases may be made or awarded without soliciting competitive </w:t>
      </w:r>
      <w:proofErr w:type="gramStart"/>
      <w:r w:rsidRPr="004A7A5A">
        <w:rPr>
          <w:rFonts w:cs="Times New Roman"/>
        </w:rPr>
        <w:t>quotations,</w:t>
      </w:r>
      <w:proofErr w:type="gramEnd"/>
      <w:r>
        <w:rPr>
          <w:rFonts w:cs="Times New Roman"/>
        </w:rPr>
        <w:t xml:space="preserve"> </w:t>
      </w:r>
      <w:r w:rsidRPr="004A7A5A">
        <w:rPr>
          <w:rFonts w:cs="Times New Roman"/>
        </w:rPr>
        <w:t>to the extent BOCES staff determine that the cost of the purchase is reasonable. For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purposes of this policy, “reasonable” means the purchase is comparable to market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prices for the geographic area.</w:t>
      </w:r>
    </w:p>
    <w:p w14:paraId="7A0F7E91" w14:textId="77777777" w:rsid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F778094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A7A5A">
        <w:rPr>
          <w:rFonts w:cs="Times New Roman"/>
        </w:rPr>
        <w:t>To the extent practicable, the BOCES will distribute micro-purchases equitably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among qualified suppliers when the same or materially interchangeable products are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identified and such suppliers offer effectively equivalent rates, prices and other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terms.</w:t>
      </w:r>
    </w:p>
    <w:p w14:paraId="668C8A00" w14:textId="77777777" w:rsid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89712D8" w14:textId="77777777" w:rsid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4A7A5A">
        <w:rPr>
          <w:rFonts w:cs="Times New Roman"/>
          <w:b/>
        </w:rPr>
        <w:t>Small purchases ($3,500 to under $150,000)</w:t>
      </w:r>
    </w:p>
    <w:p w14:paraId="16BAB114" w14:textId="77777777" w:rsid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1328001E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4A7A5A">
        <w:rPr>
          <w:rFonts w:cs="Times New Roman"/>
        </w:rPr>
        <w:t>A “small purchase” is a purchase that, in an aggregate amount, is $3,500 or more,</w:t>
      </w:r>
      <w:r>
        <w:rPr>
          <w:rFonts w:cs="Times New Roman"/>
          <w:b/>
        </w:rPr>
        <w:t xml:space="preserve"> </w:t>
      </w:r>
      <w:r w:rsidRPr="004A7A5A">
        <w:rPr>
          <w:rFonts w:cs="Times New Roman"/>
        </w:rPr>
        <w:t>but less than $150,000.</w:t>
      </w:r>
      <w:r>
        <w:rPr>
          <w:rFonts w:cs="Times New Roman"/>
          <w:b/>
        </w:rPr>
        <w:t xml:space="preserve"> </w:t>
      </w:r>
      <w:proofErr w:type="gramStart"/>
      <w:r w:rsidRPr="004A7A5A">
        <w:rPr>
          <w:rFonts w:cs="Times New Roman"/>
        </w:rPr>
        <w:t>is</w:t>
      </w:r>
      <w:proofErr w:type="gramEnd"/>
      <w:r w:rsidRPr="004A7A5A">
        <w:rPr>
          <w:rFonts w:cs="Times New Roman"/>
        </w:rPr>
        <w:t xml:space="preserve"> currently $3,500 or more but less than $150,000.</w:t>
      </w:r>
    </w:p>
    <w:p w14:paraId="00994D0E" w14:textId="77777777" w:rsid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42DB083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A7A5A">
        <w:rPr>
          <w:rFonts w:cs="Times New Roman"/>
        </w:rPr>
        <w:t>For small purchases, price or rate quotes shall be obtained in advance from a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reasonable number of qualified sources, as detailed in this policy’s accompanying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regulation, unless:</w:t>
      </w:r>
    </w:p>
    <w:p w14:paraId="37D93B54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4A7A5A">
        <w:rPr>
          <w:rFonts w:cs="Times New Roman"/>
        </w:rPr>
        <w:t xml:space="preserve">1. </w:t>
      </w:r>
      <w:proofErr w:type="gramStart"/>
      <w:r w:rsidRPr="004A7A5A">
        <w:rPr>
          <w:rFonts w:cs="Times New Roman"/>
        </w:rPr>
        <w:t>a</w:t>
      </w:r>
      <w:proofErr w:type="gramEnd"/>
      <w:r w:rsidRPr="004A7A5A">
        <w:rPr>
          <w:rFonts w:cs="Times New Roman"/>
        </w:rPr>
        <w:t xml:space="preserve"> valid basis exists under the federal Uni</w:t>
      </w:r>
      <w:r>
        <w:rPr>
          <w:rFonts w:cs="Times New Roman"/>
        </w:rPr>
        <w:t xml:space="preserve">form Grant Guidance for relying </w:t>
      </w:r>
      <w:r>
        <w:rPr>
          <w:rFonts w:cs="Times New Roman"/>
        </w:rPr>
        <w:tab/>
      </w:r>
      <w:r w:rsidRPr="004A7A5A">
        <w:rPr>
          <w:rFonts w:cs="Times New Roman"/>
        </w:rPr>
        <w:t>on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procurement by a noncompetitive proposal (i.e., “single source”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4A7A5A">
        <w:rPr>
          <w:rFonts w:cs="Times New Roman"/>
        </w:rPr>
        <w:t>procurement); or</w:t>
      </w:r>
    </w:p>
    <w:p w14:paraId="23C5CB2A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lastRenderedPageBreak/>
        <w:tab/>
      </w:r>
      <w:r w:rsidRPr="004A7A5A">
        <w:rPr>
          <w:rFonts w:cs="Times New Roman"/>
        </w:rPr>
        <w:t xml:space="preserve">2. </w:t>
      </w:r>
      <w:proofErr w:type="gramStart"/>
      <w:r w:rsidRPr="004A7A5A">
        <w:rPr>
          <w:rFonts w:cs="Times New Roman"/>
        </w:rPr>
        <w:t>the</w:t>
      </w:r>
      <w:proofErr w:type="gramEnd"/>
      <w:r w:rsidRPr="004A7A5A">
        <w:rPr>
          <w:rFonts w:cs="Times New Roman"/>
        </w:rPr>
        <w:t xml:space="preserve"> BOCES elects to use a more formal competitive bid or request for</w:t>
      </w:r>
    </w:p>
    <w:p w14:paraId="760FCA8B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proofErr w:type="gramStart"/>
      <w:r w:rsidRPr="004A7A5A">
        <w:rPr>
          <w:rFonts w:cs="Times New Roman"/>
        </w:rPr>
        <w:t>proposal</w:t>
      </w:r>
      <w:proofErr w:type="gramEnd"/>
      <w:r w:rsidRPr="004A7A5A">
        <w:rPr>
          <w:rFonts w:cs="Times New Roman"/>
        </w:rPr>
        <w:t xml:space="preserve"> process.</w:t>
      </w:r>
    </w:p>
    <w:p w14:paraId="56DA30DA" w14:textId="77777777" w:rsid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B910CDD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4A7A5A">
        <w:rPr>
          <w:rFonts w:cs="Times New Roman"/>
          <w:b/>
        </w:rPr>
        <w:t>Large purchases ($150,000 or more)</w:t>
      </w:r>
    </w:p>
    <w:p w14:paraId="56A742D1" w14:textId="77777777" w:rsid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9BB1F2B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A7A5A">
        <w:rPr>
          <w:rFonts w:cs="Times New Roman"/>
        </w:rPr>
        <w:t>A large purchase is a purchase that, in an aggregate amount, is $150,000 or more.</w:t>
      </w:r>
    </w:p>
    <w:p w14:paraId="4AA7AD41" w14:textId="77777777" w:rsid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DAE8163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A7A5A">
        <w:rPr>
          <w:rFonts w:cs="Times New Roman"/>
        </w:rPr>
        <w:t>The BOCES shall conduct a cost or price analysis for large purchases that, at a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minimum, includes making an independent estimate before receiving bids or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proposals (including noncompetitive proposals). A cost analysis means evaluating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the separate cost elements that make up the price. A price analysis means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evaluating the total price, without looking at the individual cost elements.</w:t>
      </w:r>
    </w:p>
    <w:p w14:paraId="4AA68696" w14:textId="77777777" w:rsid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185F73D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A7A5A">
        <w:rPr>
          <w:rFonts w:cs="Times New Roman"/>
        </w:rPr>
        <w:t>Whenever appropriate and relevant to the specific transaction, the cost analysis may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 xml:space="preserve">include </w:t>
      </w:r>
      <w:proofErr w:type="gramStart"/>
      <w:r w:rsidRPr="004A7A5A">
        <w:rPr>
          <w:rFonts w:cs="Times New Roman"/>
        </w:rPr>
        <w:t>life-cycle</w:t>
      </w:r>
      <w:proofErr w:type="gramEnd"/>
      <w:r w:rsidRPr="004A7A5A">
        <w:rPr>
          <w:rFonts w:cs="Times New Roman"/>
        </w:rPr>
        <w:t xml:space="preserve"> cost estimates which shall then be incorporated into any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solicitations of bids or proposals.</w:t>
      </w:r>
    </w:p>
    <w:p w14:paraId="3B6ADBB1" w14:textId="77777777" w:rsid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D7AEAF2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4A7A5A">
        <w:rPr>
          <w:rFonts w:cs="Times New Roman"/>
          <w:b/>
        </w:rPr>
        <w:t>Unnecessary or duplicative items</w:t>
      </w:r>
    </w:p>
    <w:p w14:paraId="3F9410FE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A7A5A">
        <w:rPr>
          <w:rFonts w:cs="Times New Roman"/>
        </w:rPr>
        <w:t>The BOCES shall avoid the acquisition of unnecessary or duplicative items.</w:t>
      </w:r>
    </w:p>
    <w:p w14:paraId="2E5CBA44" w14:textId="77777777" w:rsid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6627BF3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A7A5A">
        <w:rPr>
          <w:rFonts w:cs="Times New Roman"/>
        </w:rPr>
        <w:t>Consideration shall also be given to consolidating or breaking out purchases to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obtain a more economical purchase.</w:t>
      </w:r>
    </w:p>
    <w:p w14:paraId="7B39EA6C" w14:textId="77777777" w:rsid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7E32692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4A7A5A">
        <w:rPr>
          <w:rFonts w:cs="Times New Roman"/>
          <w:b/>
        </w:rPr>
        <w:t>Recordkeeping</w:t>
      </w:r>
    </w:p>
    <w:p w14:paraId="604B9A43" w14:textId="77777777" w:rsid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F69D37B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A7A5A">
        <w:rPr>
          <w:rFonts w:cs="Times New Roman"/>
        </w:rPr>
        <w:t>The BOCES shall maintain records sufficient to detail the history of procurements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made with federal funds. These records may include, but not necessarily be limited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to, the following: rationale for the method of procurement, contractor selection or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rejection, and the basis for the contract price (including a cost or price analysis).</w:t>
      </w:r>
    </w:p>
    <w:p w14:paraId="29E2F90A" w14:textId="77777777" w:rsid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378C8EE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A7A5A">
        <w:rPr>
          <w:rFonts w:cs="Times New Roman"/>
        </w:rPr>
        <w:t>Retention of such procurement records shall be in accordance with applicable law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and Board policy.</w:t>
      </w:r>
    </w:p>
    <w:p w14:paraId="4BC11333" w14:textId="77777777" w:rsid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90A62F8" w14:textId="77777777" w:rsidR="004A7A5A" w:rsidRPr="004A7A5A" w:rsidRDefault="00D34453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November 20, 2019</w:t>
      </w:r>
      <w:bookmarkStart w:id="0" w:name="_GoBack"/>
      <w:bookmarkEnd w:id="0"/>
    </w:p>
    <w:p w14:paraId="2E839CF6" w14:textId="77777777" w:rsid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A294D2E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A7A5A">
        <w:rPr>
          <w:rFonts w:cs="Times New Roman"/>
        </w:rPr>
        <w:t>LEGAL REFS</w:t>
      </w:r>
      <w:proofErr w:type="gramStart"/>
      <w:r w:rsidRPr="004A7A5A">
        <w:rPr>
          <w:rFonts w:cs="Times New Roman"/>
        </w:rPr>
        <w:t>.:</w:t>
      </w:r>
      <w:proofErr w:type="gramEnd"/>
      <w:r w:rsidRPr="004A7A5A">
        <w:rPr>
          <w:rFonts w:cs="Times New Roman"/>
        </w:rPr>
        <w:t xml:space="preserve"> 2 C.F.R. Part 200 Subpart D  (post-award requirements under the </w:t>
      </w:r>
      <w:r>
        <w:rPr>
          <w:rFonts w:cs="Times New Roman"/>
        </w:rPr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A7A5A">
        <w:rPr>
          <w:rFonts w:cs="Times New Roman"/>
        </w:rPr>
        <w:t>federal</w:t>
      </w:r>
      <w:r>
        <w:rPr>
          <w:rFonts w:cs="Times New Roman"/>
        </w:rPr>
        <w:t xml:space="preserve"> </w:t>
      </w:r>
      <w:r w:rsidRPr="004A7A5A">
        <w:rPr>
          <w:rFonts w:cs="Times New Roman"/>
        </w:rPr>
        <w:t>Uniform Grant Guidance )</w:t>
      </w:r>
    </w:p>
    <w:p w14:paraId="6D829FF2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4A7A5A">
        <w:rPr>
          <w:rFonts w:cs="Times New Roman"/>
        </w:rPr>
        <w:t>2 C.F.R. 200.318  (general standar</w:t>
      </w:r>
      <w:r>
        <w:rPr>
          <w:rFonts w:cs="Times New Roman"/>
        </w:rPr>
        <w:t xml:space="preserve">ds for procurement supported by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A7A5A">
        <w:rPr>
          <w:rFonts w:cs="Times New Roman"/>
        </w:rPr>
        <w:t>federal</w:t>
      </w:r>
      <w:r>
        <w:rPr>
          <w:rFonts w:cs="Times New Roman"/>
        </w:rPr>
        <w:t xml:space="preserve"> </w:t>
      </w:r>
      <w:proofErr w:type="gramStart"/>
      <w:r w:rsidRPr="004A7A5A">
        <w:rPr>
          <w:rFonts w:cs="Times New Roman"/>
        </w:rPr>
        <w:t>funds )</w:t>
      </w:r>
      <w:proofErr w:type="gramEnd"/>
    </w:p>
    <w:p w14:paraId="473EF6A2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4A7A5A">
        <w:rPr>
          <w:rFonts w:cs="Times New Roman"/>
        </w:rPr>
        <w:t xml:space="preserve">2 C.F.R. 200.319  (written procurement standards </w:t>
      </w:r>
      <w:proofErr w:type="gramStart"/>
      <w:r w:rsidRPr="004A7A5A">
        <w:rPr>
          <w:rFonts w:cs="Times New Roman"/>
        </w:rPr>
        <w:t>required )</w:t>
      </w:r>
      <w:proofErr w:type="gramEnd"/>
    </w:p>
    <w:p w14:paraId="55887819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4A7A5A">
        <w:rPr>
          <w:rFonts w:cs="Times New Roman"/>
        </w:rPr>
        <w:t>2 C.F.R. 200.320 (methods of procurement to be followed)</w:t>
      </w:r>
    </w:p>
    <w:p w14:paraId="6F74295A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4A7A5A">
        <w:rPr>
          <w:rFonts w:cs="Times New Roman"/>
        </w:rPr>
        <w:t>2 C.F.R. 200.323 (cost or price analysis)</w:t>
      </w:r>
    </w:p>
    <w:p w14:paraId="56634C78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4A7A5A">
        <w:rPr>
          <w:rFonts w:cs="Times New Roman"/>
        </w:rPr>
        <w:t>2 C.F.R. 200.333 (record retention requirements)</w:t>
      </w:r>
    </w:p>
    <w:p w14:paraId="3A796B4A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4A7A5A">
        <w:rPr>
          <w:rFonts w:cs="Times New Roman"/>
        </w:rPr>
        <w:t>2 C.F.R. 200.336 (access to records)</w:t>
      </w:r>
    </w:p>
    <w:p w14:paraId="5F15CB99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4A7A5A">
        <w:rPr>
          <w:rFonts w:cs="Times New Roman"/>
        </w:rPr>
        <w:t>7 C.F.R. 3016.36 (USDA’s procurement standards)</w:t>
      </w:r>
    </w:p>
    <w:p w14:paraId="6230A4FD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4A7A5A">
        <w:rPr>
          <w:rFonts w:cs="Times New Roman"/>
        </w:rPr>
        <w:t xml:space="preserve">7 C.F.R. 3016.37 (USDA’s procurement requirements for </w:t>
      </w:r>
      <w:proofErr w:type="spellStart"/>
      <w:r w:rsidRPr="004A7A5A">
        <w:rPr>
          <w:rFonts w:cs="Times New Roman"/>
        </w:rPr>
        <w:t>subgrants</w:t>
      </w:r>
      <w:proofErr w:type="spellEnd"/>
      <w:r w:rsidRPr="004A7A5A">
        <w:rPr>
          <w:rFonts w:cs="Times New Roman"/>
        </w:rPr>
        <w:t>)</w:t>
      </w:r>
    </w:p>
    <w:p w14:paraId="7F367A23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4A7A5A">
        <w:rPr>
          <w:rFonts w:cs="Times New Roman"/>
        </w:rPr>
        <w:t>34 C.F.R. Parts 75, 76  (EDGAR - Education Department General</w:t>
      </w:r>
    </w:p>
    <w:p w14:paraId="67F8970F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4A7A5A">
        <w:rPr>
          <w:rFonts w:cs="Times New Roman"/>
        </w:rPr>
        <w:t xml:space="preserve">Administrative </w:t>
      </w:r>
      <w:proofErr w:type="gramStart"/>
      <w:r w:rsidRPr="004A7A5A">
        <w:rPr>
          <w:rFonts w:cs="Times New Roman"/>
        </w:rPr>
        <w:t>Regulations )</w:t>
      </w:r>
      <w:proofErr w:type="gramEnd"/>
    </w:p>
    <w:p w14:paraId="46C80E83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4A7A5A">
        <w:rPr>
          <w:rFonts w:cs="Times New Roman"/>
        </w:rPr>
        <w:t xml:space="preserve">48 C.F.R. Subpart 2.1  (micro-purchase and competitive bidding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proofErr w:type="gramStart"/>
      <w:r w:rsidRPr="004A7A5A">
        <w:rPr>
          <w:rFonts w:cs="Times New Roman"/>
        </w:rPr>
        <w:t>hresholds</w:t>
      </w:r>
      <w:proofErr w:type="spellEnd"/>
      <w:r w:rsidRPr="004A7A5A">
        <w:rPr>
          <w:rFonts w:cs="Times New Roman"/>
        </w:rPr>
        <w:t xml:space="preserve"> )</w:t>
      </w:r>
      <w:proofErr w:type="gramEnd"/>
    </w:p>
    <w:p w14:paraId="03E19F4B" w14:textId="77777777" w:rsid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1A8C2B6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A7A5A">
        <w:rPr>
          <w:rFonts w:cs="Times New Roman"/>
        </w:rPr>
        <w:t>CROSS REFS</w:t>
      </w:r>
      <w:proofErr w:type="gramStart"/>
      <w:r w:rsidRPr="004A7A5A">
        <w:rPr>
          <w:rFonts w:cs="Times New Roman"/>
        </w:rPr>
        <w:t>.:</w:t>
      </w:r>
      <w:proofErr w:type="gramEnd"/>
      <w:r w:rsidRPr="004A7A5A">
        <w:rPr>
          <w:rFonts w:cs="Times New Roman"/>
        </w:rPr>
        <w:t xml:space="preserve"> BCB,  Board Member Conflict of Interest</w:t>
      </w:r>
    </w:p>
    <w:p w14:paraId="42427804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4A7A5A">
        <w:rPr>
          <w:rFonts w:cs="Times New Roman"/>
        </w:rPr>
        <w:t>DAC*</w:t>
      </w:r>
      <w:proofErr w:type="gramStart"/>
      <w:r w:rsidRPr="004A7A5A">
        <w:rPr>
          <w:rFonts w:cs="Times New Roman"/>
        </w:rPr>
        <w:t>,  Federal</w:t>
      </w:r>
      <w:proofErr w:type="gramEnd"/>
      <w:r w:rsidRPr="004A7A5A">
        <w:rPr>
          <w:rFonts w:cs="Times New Roman"/>
        </w:rPr>
        <w:t xml:space="preserve"> Fiscal Compliance</w:t>
      </w:r>
    </w:p>
    <w:p w14:paraId="0B02F844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4A7A5A">
        <w:rPr>
          <w:rFonts w:cs="Times New Roman"/>
        </w:rPr>
        <w:t>DJ/DJA</w:t>
      </w:r>
      <w:proofErr w:type="gramStart"/>
      <w:r w:rsidRPr="004A7A5A">
        <w:rPr>
          <w:rFonts w:cs="Times New Roman"/>
        </w:rPr>
        <w:t>,  Purchasing</w:t>
      </w:r>
      <w:proofErr w:type="gramEnd"/>
      <w:r w:rsidRPr="004A7A5A">
        <w:rPr>
          <w:rFonts w:cs="Times New Roman"/>
        </w:rPr>
        <w:t>/Purchasing Authority</w:t>
      </w:r>
    </w:p>
    <w:p w14:paraId="0BFAFA3C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4A7A5A">
        <w:rPr>
          <w:rFonts w:cs="Times New Roman"/>
        </w:rPr>
        <w:t>DJE</w:t>
      </w:r>
      <w:proofErr w:type="gramStart"/>
      <w:r w:rsidRPr="004A7A5A">
        <w:rPr>
          <w:rFonts w:cs="Times New Roman"/>
        </w:rPr>
        <w:t>,  Bidding</w:t>
      </w:r>
      <w:proofErr w:type="gramEnd"/>
      <w:r w:rsidRPr="004A7A5A">
        <w:rPr>
          <w:rFonts w:cs="Times New Roman"/>
        </w:rPr>
        <w:t xml:space="preserve"> Procedures</w:t>
      </w:r>
    </w:p>
    <w:p w14:paraId="365E85BF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4A7A5A">
        <w:rPr>
          <w:rFonts w:cs="Times New Roman"/>
        </w:rPr>
        <w:t>DKC</w:t>
      </w:r>
      <w:proofErr w:type="gramStart"/>
      <w:r w:rsidRPr="004A7A5A">
        <w:rPr>
          <w:rFonts w:cs="Times New Roman"/>
        </w:rPr>
        <w:t>,  Expense</w:t>
      </w:r>
      <w:proofErr w:type="gramEnd"/>
      <w:r w:rsidRPr="004A7A5A">
        <w:rPr>
          <w:rFonts w:cs="Times New Roman"/>
        </w:rPr>
        <w:t xml:space="preserve"> Authorization/Reimbursement (Mileage and Travel)</w:t>
      </w:r>
    </w:p>
    <w:p w14:paraId="633DC1D5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4A7A5A">
        <w:rPr>
          <w:rFonts w:cs="Times New Roman"/>
        </w:rPr>
        <w:t>EHB</w:t>
      </w:r>
      <w:proofErr w:type="gramStart"/>
      <w:r w:rsidRPr="004A7A5A">
        <w:rPr>
          <w:rFonts w:cs="Times New Roman"/>
        </w:rPr>
        <w:t>,  Records</w:t>
      </w:r>
      <w:proofErr w:type="gramEnd"/>
      <w:r w:rsidRPr="004A7A5A">
        <w:rPr>
          <w:rFonts w:cs="Times New Roman"/>
        </w:rPr>
        <w:t xml:space="preserve"> Retention</w:t>
      </w:r>
    </w:p>
    <w:p w14:paraId="5341F33A" w14:textId="77777777" w:rsidR="004A7A5A" w:rsidRPr="004A7A5A" w:rsidRDefault="004A7A5A" w:rsidP="004A7A5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4A7A5A">
        <w:rPr>
          <w:rFonts w:cs="Times New Roman"/>
        </w:rPr>
        <w:t>GBEA</w:t>
      </w:r>
      <w:proofErr w:type="gramStart"/>
      <w:r w:rsidRPr="004A7A5A">
        <w:rPr>
          <w:rFonts w:cs="Times New Roman"/>
        </w:rPr>
        <w:t>,  Staff</w:t>
      </w:r>
      <w:proofErr w:type="gramEnd"/>
      <w:r w:rsidRPr="004A7A5A">
        <w:rPr>
          <w:rFonts w:cs="Times New Roman"/>
        </w:rPr>
        <w:t xml:space="preserve"> Ethics/Conflict of Interest</w:t>
      </w:r>
    </w:p>
    <w:p w14:paraId="241CD2A9" w14:textId="77777777" w:rsidR="003063AA" w:rsidRPr="004A7A5A" w:rsidRDefault="003063AA" w:rsidP="004A7A5A"/>
    <w:sectPr w:rsidR="003063AA" w:rsidRPr="004A7A5A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5A"/>
    <w:rsid w:val="003063AA"/>
    <w:rsid w:val="004A7A5A"/>
    <w:rsid w:val="00D3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0584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736</Words>
  <Characters>4199</Characters>
  <Application>Microsoft Macintosh Word</Application>
  <DocSecurity>0</DocSecurity>
  <Lines>34</Lines>
  <Paragraphs>9</Paragraphs>
  <ScaleCrop>false</ScaleCrop>
  <Company>San Luis Valley BOCES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2019-09-01T22:47:00Z</dcterms:created>
  <dcterms:modified xsi:type="dcterms:W3CDTF">2019-11-22T20:24:00Z</dcterms:modified>
</cp:coreProperties>
</file>