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235"/>
        <w:gridCol w:w="8209"/>
        <w:gridCol w:w="226"/>
      </w:tblGrid>
      <w:tr w:rsidR="00FD6476" w:rsidRPr="00ED7E27" w:rsidTr="004A2792">
        <w:tc>
          <w:tcPr>
            <w:tcW w:w="0" w:type="auto"/>
            <w:tcBorders>
              <w:top w:val="single" w:sz="4" w:space="0" w:color="000000"/>
              <w:left w:val="single" w:sz="4" w:space="0" w:color="000000"/>
              <w:bottom w:val="single" w:sz="4" w:space="0" w:color="000000"/>
              <w:right w:val="single" w:sz="2" w:space="0" w:color="auto"/>
            </w:tcBorders>
            <w:vAlign w:val="center"/>
            <w:hideMark/>
          </w:tcPr>
          <w:p w:rsidR="00FD6476" w:rsidRPr="00ED7E27" w:rsidRDefault="00FD6476" w:rsidP="004A2792">
            <w:pPr>
              <w:rPr>
                <w:rFonts w:ascii="Times" w:eastAsia="Times New Roman" w:hAnsi="Times" w:cs="Times New Roman"/>
                <w:sz w:val="20"/>
                <w:szCs w:val="20"/>
              </w:rPr>
            </w:pPr>
          </w:p>
        </w:tc>
        <w:tc>
          <w:tcPr>
            <w:tcW w:w="0" w:type="auto"/>
            <w:tcBorders>
              <w:top w:val="single" w:sz="4" w:space="0" w:color="000000"/>
              <w:left w:val="single" w:sz="2" w:space="0" w:color="auto"/>
              <w:bottom w:val="single" w:sz="4" w:space="0" w:color="000000"/>
              <w:right w:val="single" w:sz="2" w:space="0" w:color="auto"/>
            </w:tcBorders>
            <w:shd w:val="clear" w:color="auto" w:fill="A5A5A5"/>
            <w:vAlign w:val="center"/>
            <w:hideMark/>
          </w:tcPr>
          <w:p w:rsidR="00FD6476" w:rsidRPr="00ED7E27" w:rsidRDefault="00FD6476" w:rsidP="004A2792">
            <w:pPr>
              <w:spacing w:before="100" w:beforeAutospacing="1" w:after="100" w:afterAutospacing="1"/>
              <w:rPr>
                <w:rFonts w:ascii="Times" w:hAnsi="Times" w:cs="Times New Roman"/>
                <w:sz w:val="20"/>
                <w:szCs w:val="20"/>
              </w:rPr>
            </w:pPr>
            <w:r w:rsidRPr="00ED7E27">
              <w:rPr>
                <w:rFonts w:ascii="Times New Roman" w:hAnsi="Times New Roman" w:cs="Times New Roman"/>
              </w:rPr>
              <w:t xml:space="preserve">EXAMPLES </w:t>
            </w:r>
          </w:p>
        </w:tc>
        <w:tc>
          <w:tcPr>
            <w:tcW w:w="0" w:type="auto"/>
            <w:tcBorders>
              <w:top w:val="single" w:sz="4" w:space="0" w:color="000000"/>
              <w:left w:val="single" w:sz="2" w:space="0" w:color="auto"/>
              <w:bottom w:val="single" w:sz="4" w:space="0" w:color="000000"/>
              <w:right w:val="single" w:sz="4" w:space="0" w:color="000000"/>
            </w:tcBorders>
            <w:vAlign w:val="center"/>
            <w:hideMark/>
          </w:tcPr>
          <w:p w:rsidR="00FD6476" w:rsidRPr="00ED7E27" w:rsidRDefault="00FD6476" w:rsidP="004A2792">
            <w:pPr>
              <w:rPr>
                <w:rFonts w:ascii="Times" w:eastAsia="Times New Roman" w:hAnsi="Times" w:cs="Times New Roman"/>
                <w:sz w:val="20"/>
                <w:szCs w:val="20"/>
              </w:rPr>
            </w:pPr>
          </w:p>
        </w:tc>
      </w:tr>
      <w:tr w:rsidR="00FD6476" w:rsidRPr="00ED7E27" w:rsidTr="004A2792">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FD6476" w:rsidRPr="00ED7E27" w:rsidRDefault="00FD6476" w:rsidP="004A2792">
            <w:pPr>
              <w:spacing w:before="100" w:beforeAutospacing="1" w:after="100" w:afterAutospacing="1"/>
              <w:rPr>
                <w:rFonts w:ascii="Times" w:hAnsi="Times" w:cs="Times New Roman"/>
                <w:sz w:val="20"/>
                <w:szCs w:val="20"/>
              </w:rPr>
            </w:pPr>
            <w:r w:rsidRPr="00ED7E27">
              <w:rPr>
                <w:rFonts w:ascii="Times New Roman" w:hAnsi="Times New Roman" w:cs="Times New Roman"/>
              </w:rPr>
              <w:t xml:space="preserve">Based on the assessment analysis, </w:t>
            </w:r>
            <w:proofErr w:type="spellStart"/>
            <w:r w:rsidRPr="00ED7E27">
              <w:rPr>
                <w:rFonts w:ascii="Times New Roman" w:hAnsi="Times New Roman" w:cs="Times New Roman"/>
              </w:rPr>
              <w:t>Lissette’s</w:t>
            </w:r>
            <w:proofErr w:type="spellEnd"/>
            <w:r w:rsidRPr="00ED7E27">
              <w:rPr>
                <w:rFonts w:ascii="Times New Roman" w:hAnsi="Times New Roman" w:cs="Times New Roman"/>
              </w:rPr>
              <w:t xml:space="preserve"> postsecondary goals for attending the community college and working in the child care field are attainable. She has achieved her annual goals this past year and is on track to meet her graduation requirements. In addition, </w:t>
            </w:r>
            <w:proofErr w:type="spellStart"/>
            <w:r w:rsidRPr="00ED7E27">
              <w:rPr>
                <w:rFonts w:ascii="Times New Roman" w:hAnsi="Times New Roman" w:cs="Times New Roman"/>
              </w:rPr>
              <w:t>Lissette</w:t>
            </w:r>
            <w:proofErr w:type="spellEnd"/>
            <w:r w:rsidRPr="00ED7E27">
              <w:rPr>
                <w:rFonts w:ascii="Times New Roman" w:hAnsi="Times New Roman" w:cs="Times New Roman"/>
              </w:rPr>
              <w:t xml:space="preserve"> has indicated these identified PSGs continue to be her focus for post school plans. </w:t>
            </w:r>
          </w:p>
        </w:tc>
      </w:tr>
      <w:tr w:rsidR="00FD6476" w:rsidRPr="00ED7E27" w:rsidTr="004A2792">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FD6476" w:rsidRPr="00ED7E27" w:rsidRDefault="00FD6476" w:rsidP="004A2792">
            <w:pPr>
              <w:spacing w:before="100" w:beforeAutospacing="1" w:after="100" w:afterAutospacing="1"/>
              <w:rPr>
                <w:rFonts w:ascii="Times" w:hAnsi="Times" w:cs="Times New Roman"/>
                <w:sz w:val="20"/>
                <w:szCs w:val="20"/>
              </w:rPr>
            </w:pPr>
            <w:r w:rsidRPr="00ED7E27">
              <w:rPr>
                <w:rFonts w:ascii="Times New Roman" w:hAnsi="Times New Roman" w:cs="Times New Roman"/>
              </w:rPr>
              <w:t xml:space="preserve">Based on the academic and career assessments, it is evident that Tyler’s career choice is attainable and realistic. Tyler will need to continue to build his reading and writing skills and learn to use assistive technology to support written expression. These skills will enable him to experience success in college classes and later as a construction operations manager. </w:t>
            </w:r>
          </w:p>
        </w:tc>
      </w:tr>
      <w:tr w:rsidR="00FD6476" w:rsidRPr="00ED7E27" w:rsidTr="004A2792">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FD6476" w:rsidRPr="00ED7E27" w:rsidRDefault="00FD6476" w:rsidP="004A2792">
            <w:pPr>
              <w:spacing w:before="100" w:beforeAutospacing="1" w:after="100" w:afterAutospacing="1"/>
              <w:rPr>
                <w:rFonts w:ascii="Times" w:hAnsi="Times" w:cs="Times New Roman"/>
                <w:sz w:val="20"/>
                <w:szCs w:val="20"/>
              </w:rPr>
            </w:pPr>
            <w:r w:rsidRPr="00ED7E27">
              <w:rPr>
                <w:rFonts w:ascii="Times New Roman" w:hAnsi="Times New Roman" w:cs="Times New Roman"/>
              </w:rPr>
              <w:t xml:space="preserve">Results of the most recent assessment data indicate Paul’s health and behavioral needs have increased which has affected his academic and functional performance in the school and community settings. Due to these behavioral and health related needs, Paul’s skill gaps have increased and attainment of the supported employment postsecondary goal of working as a custodian assistant is uncertain. Further assessment will be conducted to determine health and behavior in relation to future work environments. At this time, Paul’s PSG for career/employment will be updated to </w:t>
            </w:r>
            <w:proofErr w:type="gramStart"/>
            <w:r w:rsidRPr="00ED7E27">
              <w:rPr>
                <w:rFonts w:ascii="Times New Roman" w:hAnsi="Times New Roman" w:cs="Times New Roman"/>
              </w:rPr>
              <w:t>state</w:t>
            </w:r>
            <w:proofErr w:type="gramEnd"/>
            <w:r w:rsidRPr="00ED7E27">
              <w:rPr>
                <w:rFonts w:ascii="Times New Roman" w:hAnsi="Times New Roman" w:cs="Times New Roman"/>
              </w:rPr>
              <w:t xml:space="preserve"> “Due to health and behavioral needs, at this time the team has determined Paul will not work.” </w:t>
            </w:r>
          </w:p>
        </w:tc>
      </w:tr>
      <w:tr w:rsidR="00FD6476" w:rsidRPr="00ED7E27" w:rsidTr="004A2792">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FD6476" w:rsidRPr="00ED7E27" w:rsidRDefault="00FD6476" w:rsidP="004A2792">
            <w:pPr>
              <w:spacing w:before="100" w:beforeAutospacing="1" w:after="100" w:afterAutospacing="1"/>
              <w:rPr>
                <w:rFonts w:ascii="Times" w:hAnsi="Times" w:cs="Times New Roman"/>
                <w:sz w:val="20"/>
                <w:szCs w:val="20"/>
              </w:rPr>
            </w:pPr>
            <w:r w:rsidRPr="00ED7E27">
              <w:rPr>
                <w:rFonts w:ascii="Times New Roman" w:hAnsi="Times New Roman" w:cs="Times New Roman"/>
              </w:rPr>
              <w:t xml:space="preserve">The most recent T-CAP results combined with the district assessment data as well as curriculum-based measures indicate David, a junior has a </w:t>
            </w:r>
            <w:proofErr w:type="gramStart"/>
            <w:r w:rsidRPr="00ED7E27">
              <w:rPr>
                <w:rFonts w:ascii="Times New Roman" w:hAnsi="Times New Roman" w:cs="Times New Roman"/>
              </w:rPr>
              <w:t>four year</w:t>
            </w:r>
            <w:proofErr w:type="gramEnd"/>
            <w:r w:rsidRPr="00ED7E27">
              <w:rPr>
                <w:rFonts w:ascii="Times New Roman" w:hAnsi="Times New Roman" w:cs="Times New Roman"/>
              </w:rPr>
              <w:t xml:space="preserve"> gap in his math skills. David has identified attending the School of Mines to study engineering as his education and training PSG. Transition services and annual goals will address the skill development needed to narrow the gap in math. Related careers in the field of engineering will be explored so David will have other options to consider if his gaps are not closed prior to high school graduation. David’s PSG for education/training and career will be revised to state, “Will attend a college to study engineering” and “Will work in the field of engineering.” </w:t>
            </w:r>
          </w:p>
        </w:tc>
      </w:tr>
    </w:tbl>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76"/>
    <w:rsid w:val="00AE001E"/>
    <w:rsid w:val="00FD6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1823</Characters>
  <Application>Microsoft Macintosh Word</Application>
  <DocSecurity>0</DocSecurity>
  <Lines>15</Lines>
  <Paragraphs>4</Paragraphs>
  <ScaleCrop>false</ScaleCrop>
  <Company>San Luis Valley BOCES</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2014-07-08T19:31:00Z</dcterms:created>
  <dcterms:modified xsi:type="dcterms:W3CDTF">2014-07-08T19:32:00Z</dcterms:modified>
</cp:coreProperties>
</file>