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2A421" w14:textId="0A334998" w:rsid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Pr>
          <w:rFonts w:ascii="Arial" w:eastAsia="Times New Roman" w:hAnsi="Arial" w:cs="Arial"/>
          <w:color w:val="000000"/>
          <w:sz w:val="20"/>
          <w:szCs w:val="20"/>
        </w:rPr>
        <w:t>Retrieved from www.</w:t>
      </w:r>
      <w:bookmarkStart w:id="0" w:name="_GoBack"/>
      <w:bookmarkEnd w:id="0"/>
      <w:r>
        <w:rPr>
          <w:rFonts w:ascii="Arial" w:eastAsia="Times New Roman" w:hAnsi="Arial" w:cs="Arial"/>
          <w:color w:val="000000"/>
          <w:sz w:val="20"/>
          <w:szCs w:val="20"/>
        </w:rPr>
        <w:t>davidsongifted.org</w:t>
      </w:r>
    </w:p>
    <w:p w14:paraId="762032A1" w14:textId="77777777" w:rsid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p>
    <w:p w14:paraId="2737461E" w14:textId="536F7674"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Twenty different types of acceleration were identified in </w:t>
      </w:r>
      <w:hyperlink r:id="rId5" w:tgtFrame="_blank" w:history="1">
        <w:r w:rsidRPr="00B87C86">
          <w:rPr>
            <w:rFonts w:ascii="inherit" w:eastAsia="Times New Roman" w:hAnsi="inherit" w:cs="Arial"/>
            <w:i/>
            <w:iCs/>
            <w:color w:val="0077DF"/>
            <w:sz w:val="20"/>
            <w:szCs w:val="20"/>
            <w:u w:val="single"/>
            <w:bdr w:val="none" w:sz="0" w:space="0" w:color="auto" w:frame="1"/>
          </w:rPr>
          <w:t>A Nation Empowered</w:t>
        </w:r>
      </w:hyperlink>
      <w:r w:rsidRPr="00B87C86">
        <w:rPr>
          <w:rFonts w:ascii="Arial" w:eastAsia="Times New Roman" w:hAnsi="Arial" w:cs="Arial"/>
          <w:color w:val="000000"/>
          <w:sz w:val="20"/>
          <w:szCs w:val="20"/>
        </w:rPr>
        <w:t>. These forms are defined below. Additional information about relevant resources is included.</w:t>
      </w:r>
    </w:p>
    <w:p w14:paraId="0E89C3E5"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Early admission to kindergarten</w:t>
      </w:r>
    </w:p>
    <w:p w14:paraId="562CD73F"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In this form of acceleration, students enter kindergarten before they reach the minimum school entry age (which varies widely across states and districts). For more information, see the </w:t>
      </w:r>
      <w:hyperlink r:id="rId6" w:history="1">
        <w:r w:rsidRPr="00B87C86">
          <w:rPr>
            <w:rFonts w:ascii="Arial" w:eastAsia="Times New Roman" w:hAnsi="Arial" w:cs="Arial"/>
            <w:color w:val="0077DF"/>
            <w:sz w:val="20"/>
            <w:szCs w:val="20"/>
            <w:u w:val="single"/>
            <w:bdr w:val="none" w:sz="0" w:space="0" w:color="auto" w:frame="1"/>
          </w:rPr>
          <w:t>Early Entrance to Kindergarten</w:t>
        </w:r>
      </w:hyperlink>
      <w:r w:rsidRPr="00B87C86">
        <w:rPr>
          <w:rFonts w:ascii="Arial" w:eastAsia="Times New Roman" w:hAnsi="Arial" w:cs="Arial"/>
          <w:color w:val="000000"/>
          <w:sz w:val="20"/>
          <w:szCs w:val="20"/>
        </w:rPr>
        <w:t> page, as well as the chapter on Whole-Grade Acceleration and Early Entrance to Kindergarten in the 2015 report, </w:t>
      </w:r>
      <w:hyperlink r:id="rId7" w:tgtFrame="_blank" w:history="1">
        <w:r w:rsidRPr="00B87C86">
          <w:rPr>
            <w:rFonts w:ascii="inherit" w:eastAsia="Times New Roman" w:hAnsi="inherit" w:cs="Arial"/>
            <w:i/>
            <w:iCs/>
            <w:color w:val="0077DF"/>
            <w:sz w:val="20"/>
            <w:szCs w:val="20"/>
            <w:u w:val="single"/>
            <w:bdr w:val="none" w:sz="0" w:space="0" w:color="auto" w:frame="1"/>
          </w:rPr>
          <w:t>A Nation Empowered</w:t>
        </w:r>
      </w:hyperlink>
      <w:r w:rsidRPr="00B87C86">
        <w:rPr>
          <w:rFonts w:ascii="Arial" w:eastAsia="Times New Roman" w:hAnsi="Arial" w:cs="Arial"/>
          <w:color w:val="000000"/>
          <w:sz w:val="20"/>
          <w:szCs w:val="20"/>
        </w:rPr>
        <w:t>.</w:t>
      </w:r>
    </w:p>
    <w:p w14:paraId="114A686D"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Early admission to first grade</w:t>
      </w:r>
    </w:p>
    <w:p w14:paraId="6E94DD95"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participating in this accelerative option attend first grade in their first year of school, either by skipping kindergarten entirely or by moving from kindergarten to first grade within the student's first school year.</w:t>
      </w:r>
    </w:p>
    <w:p w14:paraId="6005A1FA"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Grade-skipping (or whole-grade acceleration)</w:t>
      </w:r>
    </w:p>
    <w:p w14:paraId="5323CF9B"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are placed in a grade level ahead of chronological age peers. Decisions to grade-skip a student must be made by a team of professionals using a wide range of data. The </w:t>
      </w:r>
      <w:hyperlink r:id="rId8" w:tgtFrame="_blank" w:history="1">
        <w:r w:rsidRPr="00B87C86">
          <w:rPr>
            <w:rFonts w:ascii="Arial" w:eastAsia="Times New Roman" w:hAnsi="Arial" w:cs="Arial"/>
            <w:color w:val="0077DF"/>
            <w:sz w:val="20"/>
            <w:szCs w:val="20"/>
            <w:u w:val="single"/>
            <w:bdr w:val="none" w:sz="0" w:space="0" w:color="auto" w:frame="1"/>
          </w:rPr>
          <w:t>Iowa Acceleration Scale</w:t>
        </w:r>
      </w:hyperlink>
      <w:r w:rsidRPr="00B87C86">
        <w:rPr>
          <w:rFonts w:ascii="Arial" w:eastAsia="Times New Roman" w:hAnsi="Arial" w:cs="Arial"/>
          <w:color w:val="000000"/>
          <w:sz w:val="20"/>
          <w:szCs w:val="20"/>
        </w:rPr>
        <w:t> was created to provide an objective analysis of the data to assist in the decision-making process. The 2015 report, </w:t>
      </w:r>
      <w:hyperlink r:id="rId9" w:tgtFrame="_blank" w:history="1">
        <w:r w:rsidRPr="00B87C86">
          <w:rPr>
            <w:rFonts w:ascii="inherit" w:eastAsia="Times New Roman" w:hAnsi="inherit" w:cs="Arial"/>
            <w:i/>
            <w:iCs/>
            <w:color w:val="0077DF"/>
            <w:sz w:val="20"/>
            <w:szCs w:val="20"/>
            <w:u w:val="single"/>
            <w:bdr w:val="none" w:sz="0" w:space="0" w:color="auto" w:frame="1"/>
          </w:rPr>
          <w:t>A Nation Empowered</w:t>
        </w:r>
      </w:hyperlink>
      <w:r w:rsidRPr="00B87C86">
        <w:rPr>
          <w:rFonts w:ascii="Arial" w:eastAsia="Times New Roman" w:hAnsi="Arial" w:cs="Arial"/>
          <w:color w:val="000000"/>
          <w:sz w:val="20"/>
          <w:szCs w:val="20"/>
        </w:rPr>
        <w:t>, contains chapters on both grade-skipping and radical acceleration.</w:t>
      </w:r>
    </w:p>
    <w:p w14:paraId="1FE05AB5"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Continuous progress</w:t>
      </w:r>
    </w:p>
    <w:p w14:paraId="7D048CB8"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engaging in this option are given new content as prior content is completed and mastered. The practice is considered accelerative when the student's progress outpaces that of chronological peers in rate and level.</w:t>
      </w:r>
    </w:p>
    <w:p w14:paraId="32976D2D"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Self-paced instruction</w:t>
      </w:r>
    </w:p>
    <w:p w14:paraId="76441469"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In self-paced instruction, students proceed through learning and instructional activities at a self-selected pace. It is distinguishable from continuous progress in that the student has control over all pacing decisions.</w:t>
      </w:r>
    </w:p>
    <w:p w14:paraId="2CD001C6"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Subject-matter acceleration/partial acceleration (Or content-based acceleration)</w:t>
      </w:r>
    </w:p>
    <w:p w14:paraId="42E0C5B2"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are placed in classes with older peers for a part of the day in one or more content areas. Students could physically move to a higher-level class for instruction, or they could use higher-level curricular materials within their original classroom. Subject-matter acceleration can also be used in tandem with a number of other accelerative options, including extracurricular programs, and whole-grade acceleration. Information about subject-matter acceleration decisions in STEM subjects can be found in </w:t>
      </w:r>
      <w:proofErr w:type="spellStart"/>
      <w:r w:rsidRPr="00B87C86">
        <w:rPr>
          <w:rFonts w:ascii="Arial" w:eastAsia="Times New Roman" w:hAnsi="Arial" w:cs="Arial"/>
          <w:color w:val="000000"/>
          <w:sz w:val="20"/>
          <w:szCs w:val="20"/>
        </w:rPr>
        <w:fldChar w:fldCharType="begin"/>
      </w:r>
      <w:r w:rsidRPr="00B87C86">
        <w:rPr>
          <w:rFonts w:ascii="Arial" w:eastAsia="Times New Roman" w:hAnsi="Arial" w:cs="Arial"/>
          <w:color w:val="000000"/>
          <w:sz w:val="20"/>
          <w:szCs w:val="20"/>
        </w:rPr>
        <w:instrText xml:space="preserve"> HYPERLINK "http://www.accelerationinstitute.org/Resources/IDEAL.aspx" \t "_blank" </w:instrText>
      </w:r>
      <w:r w:rsidRPr="00B87C86">
        <w:rPr>
          <w:rFonts w:ascii="Arial" w:eastAsia="Times New Roman" w:hAnsi="Arial" w:cs="Arial"/>
          <w:color w:val="000000"/>
          <w:sz w:val="20"/>
          <w:szCs w:val="20"/>
        </w:rPr>
        <w:fldChar w:fldCharType="separate"/>
      </w:r>
      <w:r w:rsidRPr="00B87C86">
        <w:rPr>
          <w:rFonts w:ascii="Arial" w:eastAsia="Times New Roman" w:hAnsi="Arial" w:cs="Arial"/>
          <w:color w:val="0077DF"/>
          <w:sz w:val="20"/>
          <w:szCs w:val="20"/>
          <w:u w:val="single"/>
          <w:bdr w:val="none" w:sz="0" w:space="0" w:color="auto" w:frame="1"/>
        </w:rPr>
        <w:t>IDEALSolutions</w:t>
      </w:r>
      <w:proofErr w:type="spellEnd"/>
      <w:r w:rsidRPr="00B87C86">
        <w:rPr>
          <w:rFonts w:ascii="Arial" w:eastAsia="Times New Roman" w:hAnsi="Arial" w:cs="Arial"/>
          <w:color w:val="000000"/>
          <w:sz w:val="20"/>
          <w:szCs w:val="20"/>
        </w:rPr>
        <w:fldChar w:fldCharType="end"/>
      </w:r>
      <w:r w:rsidRPr="00B87C86">
        <w:rPr>
          <w:rFonts w:ascii="Arial" w:eastAsia="Times New Roman" w:hAnsi="Arial" w:cs="Arial"/>
          <w:color w:val="000000"/>
          <w:sz w:val="20"/>
          <w:szCs w:val="20"/>
        </w:rPr>
        <w:t>. Also see </w:t>
      </w:r>
      <w:hyperlink r:id="rId10" w:tgtFrame="_blank" w:history="1">
        <w:r w:rsidRPr="00B87C86">
          <w:rPr>
            <w:rFonts w:ascii="Arial" w:eastAsia="Times New Roman" w:hAnsi="Arial" w:cs="Arial"/>
            <w:color w:val="0077DF"/>
            <w:sz w:val="20"/>
            <w:szCs w:val="20"/>
            <w:u w:val="single"/>
            <w:bdr w:val="none" w:sz="0" w:space="0" w:color="auto" w:frame="1"/>
          </w:rPr>
          <w:t>Developing Math Talent</w:t>
        </w:r>
      </w:hyperlink>
      <w:r w:rsidRPr="00B87C86">
        <w:rPr>
          <w:rFonts w:ascii="Arial" w:eastAsia="Times New Roman" w:hAnsi="Arial" w:cs="Arial"/>
          <w:color w:val="000000"/>
          <w:sz w:val="20"/>
          <w:szCs w:val="20"/>
        </w:rPr>
        <w:t> and other books for details about accelerating in mathematics. The chapter about Talent Searches and another chapter on Acceleration and STEM Education in </w:t>
      </w:r>
      <w:hyperlink r:id="rId11" w:tgtFrame="_blank" w:history="1">
        <w:r w:rsidRPr="00B87C86">
          <w:rPr>
            <w:rFonts w:ascii="inherit" w:eastAsia="Times New Roman" w:hAnsi="inherit" w:cs="Arial"/>
            <w:i/>
            <w:iCs/>
            <w:color w:val="0077DF"/>
            <w:sz w:val="20"/>
            <w:szCs w:val="20"/>
            <w:u w:val="single"/>
            <w:bdr w:val="none" w:sz="0" w:space="0" w:color="auto" w:frame="1"/>
          </w:rPr>
          <w:t>A Nation Empowered</w:t>
        </w:r>
      </w:hyperlink>
      <w:r w:rsidRPr="00B87C86">
        <w:rPr>
          <w:rFonts w:ascii="Arial" w:eastAsia="Times New Roman" w:hAnsi="Arial" w:cs="Arial"/>
          <w:color w:val="000000"/>
          <w:sz w:val="20"/>
          <w:szCs w:val="20"/>
        </w:rPr>
        <w:t> provide additional details about content acceleration. The chapter about Content Acceleration in </w:t>
      </w:r>
      <w:hyperlink r:id="rId12" w:tgtFrame="_blank" w:history="1">
        <w:r w:rsidRPr="00B87C86">
          <w:rPr>
            <w:rFonts w:ascii="inherit" w:eastAsia="Times New Roman" w:hAnsi="inherit" w:cs="Arial"/>
            <w:i/>
            <w:iCs/>
            <w:color w:val="0077DF"/>
            <w:sz w:val="20"/>
            <w:szCs w:val="20"/>
            <w:u w:val="single"/>
            <w:bdr w:val="none" w:sz="0" w:space="0" w:color="auto" w:frame="1"/>
          </w:rPr>
          <w:t>A Nation Empowered</w:t>
        </w:r>
      </w:hyperlink>
      <w:r w:rsidRPr="00B87C86">
        <w:rPr>
          <w:rFonts w:ascii="Arial" w:eastAsia="Times New Roman" w:hAnsi="Arial" w:cs="Arial"/>
          <w:color w:val="000000"/>
          <w:sz w:val="20"/>
          <w:szCs w:val="20"/>
        </w:rPr>
        <w:t> includes a special focus on adapting the Core Curriculum while accelerating gifted students.</w:t>
      </w:r>
    </w:p>
    <w:p w14:paraId="440D236B"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Combined classes</w:t>
      </w:r>
    </w:p>
    <w:p w14:paraId="47148CF9"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Multiple grades are taught in the same classroom (i.e., fourth and fifth grades are combined into one class</w:t>
      </w:r>
      <w:proofErr w:type="gramStart"/>
      <w:r w:rsidRPr="00B87C86">
        <w:rPr>
          <w:rFonts w:ascii="Arial" w:eastAsia="Times New Roman" w:hAnsi="Arial" w:cs="Arial"/>
          <w:color w:val="000000"/>
          <w:sz w:val="20"/>
          <w:szCs w:val="20"/>
        </w:rPr>
        <w:t>).Though</w:t>
      </w:r>
      <w:proofErr w:type="gramEnd"/>
      <w:r w:rsidRPr="00B87C86">
        <w:rPr>
          <w:rFonts w:ascii="Arial" w:eastAsia="Times New Roman" w:hAnsi="Arial" w:cs="Arial"/>
          <w:color w:val="000000"/>
          <w:sz w:val="20"/>
          <w:szCs w:val="20"/>
        </w:rPr>
        <w:t xml:space="preserve"> not an accelerative option in itself, in some instances this practice may provide opportunities for younger students to engage academically and socially with older peers. It may or may not result in advanced grade placements for those younger students.</w:t>
      </w:r>
    </w:p>
    <w:p w14:paraId="7A7102C5"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Curriculum compacting</w:t>
      </w:r>
    </w:p>
    <w:p w14:paraId="5C84495C"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The curriculum is adapted to include fewer introductory activities and less repetition. Adaptations should be made based on pre-assessment of content knowledge. The time saved may be used for more advanced content instruction or to participate in enrichment activities. This practice does not necessarily result in advanced grade placement.</w:t>
      </w:r>
    </w:p>
    <w:p w14:paraId="59FF29C2"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Telescoping curriculum</w:t>
      </w:r>
    </w:p>
    <w:p w14:paraId="2CF1E16D"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lastRenderedPageBreak/>
        <w:t>Students are provided instruction in less time than is typical (e.g., completing a one-year course in a semester or completing 3 years of middle school in two years). The time saved always results in advanced grade placement.</w:t>
      </w:r>
    </w:p>
    <w:p w14:paraId="5661E64B"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Mentoring</w:t>
      </w:r>
    </w:p>
    <w:p w14:paraId="04CCA0F8"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 xml:space="preserve">Students are paired with mentors who provide advanced or faster-paced instruction. Ideally, mentorship would be used in a </w:t>
      </w:r>
      <w:proofErr w:type="spellStart"/>
      <w:r w:rsidRPr="00B87C86">
        <w:rPr>
          <w:rFonts w:ascii="Arial" w:eastAsia="Times New Roman" w:hAnsi="Arial" w:cs="Arial"/>
          <w:color w:val="000000"/>
          <w:sz w:val="20"/>
          <w:szCs w:val="20"/>
        </w:rPr>
        <w:t>studentâ</w:t>
      </w:r>
      <w:proofErr w:type="spellEnd"/>
      <w:r w:rsidRPr="00B87C86">
        <w:rPr>
          <w:rFonts w:ascii="Arial" w:eastAsia="Times New Roman" w:hAnsi="Arial" w:cs="Arial"/>
          <w:color w:val="000000"/>
          <w:sz w:val="20"/>
          <w:szCs w:val="20"/>
        </w:rPr>
        <w:t>€™s area(s) of interest, providing them opportunities to work with professionals in a field they could see themselves entering.</w:t>
      </w:r>
    </w:p>
    <w:p w14:paraId="3947F5C7"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Extracurricular programs</w:t>
      </w:r>
    </w:p>
    <w:p w14:paraId="18ACA92A"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elect to enroll in after school or summer programs or courses that confer advanced instruction and/or credit. </w:t>
      </w:r>
      <w:hyperlink r:id="rId13" w:tgtFrame="_blank" w:history="1">
        <w:r w:rsidRPr="00B87C86">
          <w:rPr>
            <w:rFonts w:ascii="Arial" w:eastAsia="Times New Roman" w:hAnsi="Arial" w:cs="Arial"/>
            <w:color w:val="0077DF"/>
            <w:sz w:val="20"/>
            <w:szCs w:val="20"/>
            <w:u w:val="single"/>
            <w:bdr w:val="none" w:sz="0" w:space="0" w:color="auto" w:frame="1"/>
          </w:rPr>
          <w:t>Talent Search</w:t>
        </w:r>
      </w:hyperlink>
      <w:r w:rsidRPr="00B87C86">
        <w:rPr>
          <w:rFonts w:ascii="Arial" w:eastAsia="Times New Roman" w:hAnsi="Arial" w:cs="Arial"/>
          <w:color w:val="000000"/>
          <w:sz w:val="20"/>
          <w:szCs w:val="20"/>
        </w:rPr>
        <w:t> programs, for example, offer accelerated classes during the summer, many of which are content-based and employ fast-paced learning. See the chapter about Talent Searches in </w:t>
      </w:r>
      <w:hyperlink r:id="rId14" w:tgtFrame="_blank" w:history="1">
        <w:r w:rsidRPr="00B87C86">
          <w:rPr>
            <w:rFonts w:ascii="inherit" w:eastAsia="Times New Roman" w:hAnsi="inherit" w:cs="Arial"/>
            <w:i/>
            <w:iCs/>
            <w:color w:val="0077DF"/>
            <w:sz w:val="20"/>
            <w:szCs w:val="20"/>
            <w:bdr w:val="none" w:sz="0" w:space="0" w:color="auto" w:frame="1"/>
          </w:rPr>
          <w:t>A Nation Empowered</w:t>
        </w:r>
      </w:hyperlink>
      <w:r w:rsidRPr="00B87C86">
        <w:rPr>
          <w:rFonts w:ascii="Arial" w:eastAsia="Times New Roman" w:hAnsi="Arial" w:cs="Arial"/>
          <w:color w:val="000000"/>
          <w:sz w:val="20"/>
          <w:szCs w:val="20"/>
        </w:rPr>
        <w:t> for more information. Other extracurricular programs at the </w:t>
      </w:r>
      <w:hyperlink r:id="rId15" w:tgtFrame="_blank" w:history="1">
        <w:r w:rsidRPr="00B87C86">
          <w:rPr>
            <w:rFonts w:ascii="Arial" w:eastAsia="Times New Roman" w:hAnsi="Arial" w:cs="Arial"/>
            <w:color w:val="0077DF"/>
            <w:sz w:val="20"/>
            <w:szCs w:val="20"/>
            <w:u w:val="single"/>
            <w:bdr w:val="none" w:sz="0" w:space="0" w:color="auto" w:frame="1"/>
          </w:rPr>
          <w:t>Belin-Blank Center</w:t>
        </w:r>
      </w:hyperlink>
      <w:r w:rsidRPr="00B87C86">
        <w:rPr>
          <w:rFonts w:ascii="Arial" w:eastAsia="Times New Roman" w:hAnsi="Arial" w:cs="Arial"/>
          <w:color w:val="000000"/>
          <w:sz w:val="20"/>
          <w:szCs w:val="20"/>
        </w:rPr>
        <w:t> include WINGS, Blast, and Challenge Saturdays.</w:t>
      </w:r>
    </w:p>
    <w:p w14:paraId="32E269E1"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Distance learning or online learning courses</w:t>
      </w:r>
    </w:p>
    <w:p w14:paraId="3304AA5D"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enroll in courses offered by an organization outside of their school, through community colleges, 4-year colleges or universities, or other organizations. These courses are commonly offered online, and students can work during school hours, after school, and/or at home. Parents often pay for these courses, and one frequent goal is for the student to earn advanced credit for the work completed. The Belin-Blank Center offers the Iowa </w:t>
      </w:r>
      <w:hyperlink r:id="rId16" w:tgtFrame="_blank" w:history="1">
        <w:r w:rsidRPr="00B87C86">
          <w:rPr>
            <w:rFonts w:ascii="Arial" w:eastAsia="Times New Roman" w:hAnsi="Arial" w:cs="Arial"/>
            <w:color w:val="0077DF"/>
            <w:sz w:val="20"/>
            <w:szCs w:val="20"/>
            <w:u w:val="single"/>
            <w:bdr w:val="none" w:sz="0" w:space="0" w:color="auto" w:frame="1"/>
          </w:rPr>
          <w:t>Online Advanced Placement Academy (IOAPA)</w:t>
        </w:r>
      </w:hyperlink>
      <w:r w:rsidRPr="00B87C86">
        <w:rPr>
          <w:rFonts w:ascii="Arial" w:eastAsia="Times New Roman" w:hAnsi="Arial" w:cs="Arial"/>
          <w:color w:val="000000"/>
          <w:sz w:val="20"/>
          <w:szCs w:val="20"/>
        </w:rPr>
        <w:t>. There are many other online or distance learning opportunities included in the appendices in </w:t>
      </w:r>
      <w:hyperlink r:id="rId17" w:tgtFrame="_blank" w:history="1">
        <w:r w:rsidRPr="00B87C86">
          <w:rPr>
            <w:rFonts w:ascii="inherit" w:eastAsia="Times New Roman" w:hAnsi="inherit" w:cs="Arial"/>
            <w:i/>
            <w:iCs/>
            <w:color w:val="0077DF"/>
            <w:sz w:val="20"/>
            <w:szCs w:val="20"/>
            <w:bdr w:val="none" w:sz="0" w:space="0" w:color="auto" w:frame="1"/>
          </w:rPr>
          <w:t>A Nation Empowered</w:t>
        </w:r>
      </w:hyperlink>
      <w:r w:rsidRPr="00B87C86">
        <w:rPr>
          <w:rFonts w:ascii="Arial" w:eastAsia="Times New Roman" w:hAnsi="Arial" w:cs="Arial"/>
          <w:color w:val="000000"/>
          <w:sz w:val="20"/>
          <w:szCs w:val="20"/>
        </w:rPr>
        <w:t>. Others are listed at:</w:t>
      </w:r>
    </w:p>
    <w:p w14:paraId="55089284" w14:textId="77777777" w:rsidR="00B87C86" w:rsidRPr="00B87C86" w:rsidRDefault="00B87C86" w:rsidP="00B87C86">
      <w:pPr>
        <w:numPr>
          <w:ilvl w:val="0"/>
          <w:numId w:val="1"/>
        </w:numPr>
        <w:shd w:val="clear" w:color="auto" w:fill="FFFFFF"/>
        <w:spacing w:after="0" w:line="240" w:lineRule="auto"/>
        <w:ind w:left="270"/>
        <w:textAlignment w:val="baseline"/>
        <w:rPr>
          <w:rFonts w:ascii="Arial" w:eastAsia="Times New Roman" w:hAnsi="Arial" w:cs="Arial"/>
          <w:color w:val="000000"/>
          <w:sz w:val="20"/>
          <w:szCs w:val="20"/>
        </w:rPr>
      </w:pPr>
      <w:hyperlink r:id="rId18" w:tgtFrame="_blank" w:history="1">
        <w:r w:rsidRPr="00B87C86">
          <w:rPr>
            <w:rFonts w:ascii="Arial" w:eastAsia="Times New Roman" w:hAnsi="Arial" w:cs="Arial"/>
            <w:color w:val="0077DF"/>
            <w:sz w:val="20"/>
            <w:szCs w:val="20"/>
            <w:u w:val="single"/>
            <w:bdr w:val="none" w:sz="0" w:space="0" w:color="auto" w:frame="1"/>
          </w:rPr>
          <w:t>http://www.hoagiesgifted.org/online_hs.htm</w:t>
        </w:r>
      </w:hyperlink>
      <w:r w:rsidRPr="00B87C86">
        <w:rPr>
          <w:rFonts w:ascii="Arial" w:eastAsia="Times New Roman" w:hAnsi="Arial" w:cs="Arial"/>
          <w:color w:val="000000"/>
          <w:sz w:val="20"/>
          <w:szCs w:val="20"/>
        </w:rPr>
        <w:t> </w:t>
      </w:r>
    </w:p>
    <w:p w14:paraId="44E9BEE6" w14:textId="77777777" w:rsidR="00B87C86" w:rsidRPr="00B87C86" w:rsidRDefault="00B87C86" w:rsidP="00B87C86">
      <w:pPr>
        <w:numPr>
          <w:ilvl w:val="0"/>
          <w:numId w:val="1"/>
        </w:numPr>
        <w:shd w:val="clear" w:color="auto" w:fill="FFFFFF"/>
        <w:spacing w:after="0" w:line="240" w:lineRule="auto"/>
        <w:ind w:left="270"/>
        <w:textAlignment w:val="baseline"/>
        <w:rPr>
          <w:rFonts w:ascii="Arial" w:eastAsia="Times New Roman" w:hAnsi="Arial" w:cs="Arial"/>
          <w:color w:val="000000"/>
          <w:sz w:val="20"/>
          <w:szCs w:val="20"/>
        </w:rPr>
      </w:pPr>
      <w:hyperlink r:id="rId19" w:tgtFrame="_blank" w:history="1">
        <w:r w:rsidRPr="00B87C86">
          <w:rPr>
            <w:rFonts w:ascii="Arial" w:eastAsia="Times New Roman" w:hAnsi="Arial" w:cs="Arial"/>
            <w:color w:val="0077DF"/>
            <w:sz w:val="20"/>
            <w:szCs w:val="20"/>
            <w:u w:val="single"/>
            <w:bdr w:val="none" w:sz="0" w:space="0" w:color="auto" w:frame="1"/>
          </w:rPr>
          <w:t>http://www.hoagiesgifted.org/distance_learning.htm</w:t>
        </w:r>
      </w:hyperlink>
    </w:p>
    <w:p w14:paraId="564D5B70" w14:textId="77777777" w:rsidR="00B87C86" w:rsidRPr="00B87C86" w:rsidRDefault="00B87C86" w:rsidP="00B87C86">
      <w:pPr>
        <w:numPr>
          <w:ilvl w:val="0"/>
          <w:numId w:val="1"/>
        </w:numPr>
        <w:shd w:val="clear" w:color="auto" w:fill="FFFFFF"/>
        <w:spacing w:after="0" w:line="240" w:lineRule="auto"/>
        <w:ind w:left="270"/>
        <w:textAlignment w:val="baseline"/>
        <w:rPr>
          <w:rFonts w:ascii="Arial" w:eastAsia="Times New Roman" w:hAnsi="Arial" w:cs="Arial"/>
          <w:color w:val="000000"/>
          <w:sz w:val="20"/>
          <w:szCs w:val="20"/>
        </w:rPr>
      </w:pPr>
      <w:hyperlink r:id="rId20" w:tgtFrame="_blank" w:history="1">
        <w:r w:rsidRPr="00B87C86">
          <w:rPr>
            <w:rFonts w:ascii="Arial" w:eastAsia="Times New Roman" w:hAnsi="Arial" w:cs="Arial"/>
            <w:color w:val="0077DF"/>
            <w:sz w:val="20"/>
            <w:szCs w:val="20"/>
            <w:u w:val="single"/>
            <w:bdr w:val="none" w:sz="0" w:space="0" w:color="auto" w:frame="1"/>
          </w:rPr>
          <w:t>https://www.ctd.northwestern.edu/program_type/online-programs</w:t>
        </w:r>
      </w:hyperlink>
    </w:p>
    <w:p w14:paraId="70B9C861" w14:textId="77777777" w:rsidR="00B87C86" w:rsidRPr="00B87C86" w:rsidRDefault="00B87C86" w:rsidP="00B87C86">
      <w:pPr>
        <w:numPr>
          <w:ilvl w:val="0"/>
          <w:numId w:val="1"/>
        </w:numPr>
        <w:shd w:val="clear" w:color="auto" w:fill="FFFFFF"/>
        <w:spacing w:after="0" w:line="240" w:lineRule="auto"/>
        <w:ind w:left="270"/>
        <w:textAlignment w:val="baseline"/>
        <w:rPr>
          <w:rFonts w:ascii="Arial" w:eastAsia="Times New Roman" w:hAnsi="Arial" w:cs="Arial"/>
          <w:color w:val="000000"/>
          <w:sz w:val="20"/>
          <w:szCs w:val="20"/>
        </w:rPr>
      </w:pPr>
      <w:hyperlink r:id="rId21" w:tgtFrame="_blank" w:history="1">
        <w:r w:rsidRPr="00B87C86">
          <w:rPr>
            <w:rFonts w:ascii="Arial" w:eastAsia="Times New Roman" w:hAnsi="Arial" w:cs="Arial"/>
            <w:color w:val="0077DF"/>
            <w:sz w:val="20"/>
            <w:szCs w:val="20"/>
            <w:u w:val="single"/>
            <w:bdr w:val="none" w:sz="0" w:space="0" w:color="auto" w:frame="1"/>
          </w:rPr>
          <w:t>https://cty.jhu.edu/online/</w:t>
        </w:r>
      </w:hyperlink>
      <w:r w:rsidRPr="00B87C86">
        <w:rPr>
          <w:rFonts w:ascii="Arial" w:eastAsia="Times New Roman" w:hAnsi="Arial" w:cs="Arial"/>
          <w:color w:val="000000"/>
          <w:sz w:val="20"/>
          <w:szCs w:val="20"/>
        </w:rPr>
        <w:t>  </w:t>
      </w:r>
    </w:p>
    <w:p w14:paraId="22491246"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Concurrent/Dual enrollment</w:t>
      </w:r>
    </w:p>
    <w:p w14:paraId="684EC398"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In this form of acceleration, students take a course at one level and receive concurrent credit for a parallel course at a higher level. For example, a student may take algebra at the middle school, and earn credit at both the middle school and high school level. Another example of this practice is a "College in High School" program in which high school students take college-level courses taught by specially trained high school teachers. Those students commonly earn college credit upon successful completion of the course.</w:t>
      </w:r>
    </w:p>
    <w:p w14:paraId="30B298F4"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Advanced Placement</w:t>
      </w:r>
    </w:p>
    <w:p w14:paraId="4EA29059"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The Advanced Placement (AP) program, offered by the College Board, allows students to enroll in AP courses offered through their high school and/or take AP tests. High scores on AP exams may earn students advanced credit.</w:t>
      </w:r>
    </w:p>
    <w:p w14:paraId="4D8879A7"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International Baccalaureate program</w:t>
      </w:r>
    </w:p>
    <w:p w14:paraId="07AFD4E9"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International Baccalaureate (IB) is a specialized educational program offered at authorized schools. Students who participate in this program, complete an IB high school diploma, and perform well on IB exams may receive advanced standing at selected universities.</w:t>
      </w:r>
    </w:p>
    <w:p w14:paraId="7F87AEEE"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Accelerated/honors high school or residential high school on a college campus</w:t>
      </w:r>
    </w:p>
    <w:p w14:paraId="134EDAD2"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attend a selective high school program designed specifically for gifted students. Day schools and residential schools of this type offer advanced coursework, as well as opportunities for mentorships and internships, and students at these schools often complete high school graduation requirements in tandem with college coursework. The State Residential STEM schools chapter in </w:t>
      </w:r>
      <w:hyperlink r:id="rId22" w:tgtFrame="_blank" w:history="1">
        <w:r w:rsidRPr="00B87C86">
          <w:rPr>
            <w:rFonts w:ascii="inherit" w:eastAsia="Times New Roman" w:hAnsi="inherit" w:cs="Arial"/>
            <w:i/>
            <w:iCs/>
            <w:color w:val="0077DF"/>
            <w:sz w:val="20"/>
            <w:szCs w:val="20"/>
            <w:bdr w:val="none" w:sz="0" w:space="0" w:color="auto" w:frame="1"/>
          </w:rPr>
          <w:t>A Nation Empowered</w:t>
        </w:r>
      </w:hyperlink>
      <w:r w:rsidRPr="00B87C86">
        <w:rPr>
          <w:rFonts w:ascii="Arial" w:eastAsia="Times New Roman" w:hAnsi="Arial" w:cs="Arial"/>
          <w:color w:val="000000"/>
          <w:sz w:val="20"/>
          <w:szCs w:val="20"/>
        </w:rPr>
        <w:t> provides examples of these types of schools.</w:t>
      </w:r>
    </w:p>
    <w:p w14:paraId="532D7597"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Credit by examination</w:t>
      </w:r>
    </w:p>
    <w:p w14:paraId="120510C1"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lastRenderedPageBreak/>
        <w:t>Students are awarded advanced credit for successfully completing some form of mastery test or activity. Students who earn this type of credit have often mastered material through independent study or internship experiences.</w:t>
      </w:r>
    </w:p>
    <w:p w14:paraId="676068FE"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Early entrance into middle school, high school, or college</w:t>
      </w:r>
    </w:p>
    <w:p w14:paraId="78A8D0E8"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enter the next level of school at least one year earlier than expected. This may be achieved with the employment of other accelerative techniques. More information about early entrance to college programs can be found </w:t>
      </w:r>
      <w:hyperlink r:id="rId23" w:tgtFrame="_blank" w:history="1">
        <w:r w:rsidRPr="00B87C86">
          <w:rPr>
            <w:rFonts w:ascii="Arial" w:eastAsia="Times New Roman" w:hAnsi="Arial" w:cs="Arial"/>
            <w:color w:val="0077DF"/>
            <w:sz w:val="20"/>
            <w:szCs w:val="20"/>
            <w:u w:val="single"/>
            <w:bdr w:val="none" w:sz="0" w:space="0" w:color="auto" w:frame="1"/>
          </w:rPr>
          <w:t>on the Acceleration Institute website</w:t>
        </w:r>
      </w:hyperlink>
      <w:r w:rsidRPr="00B87C86">
        <w:rPr>
          <w:rFonts w:ascii="Arial" w:eastAsia="Times New Roman" w:hAnsi="Arial" w:cs="Arial"/>
          <w:color w:val="000000"/>
          <w:sz w:val="20"/>
          <w:szCs w:val="20"/>
        </w:rPr>
        <w:t>. </w:t>
      </w:r>
      <w:hyperlink r:id="rId24" w:tgtFrame="_blank" w:history="1">
        <w:r w:rsidRPr="00B87C86">
          <w:rPr>
            <w:rFonts w:ascii="inherit" w:eastAsia="Times New Roman" w:hAnsi="inherit" w:cs="Arial"/>
            <w:i/>
            <w:iCs/>
            <w:color w:val="0077DF"/>
            <w:sz w:val="20"/>
            <w:szCs w:val="20"/>
            <w:bdr w:val="none" w:sz="0" w:space="0" w:color="auto" w:frame="1"/>
          </w:rPr>
          <w:t>A Nation Empowered</w:t>
        </w:r>
      </w:hyperlink>
      <w:r w:rsidRPr="00B87C86">
        <w:rPr>
          <w:rFonts w:ascii="Arial" w:eastAsia="Times New Roman" w:hAnsi="Arial" w:cs="Arial"/>
          <w:color w:val="000000"/>
          <w:sz w:val="20"/>
          <w:szCs w:val="20"/>
        </w:rPr>
        <w:t> includes a chapter on Early Entrance to College.</w:t>
      </w:r>
    </w:p>
    <w:p w14:paraId="7F633F0D"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Acceleration in college</w:t>
      </w:r>
    </w:p>
    <w:p w14:paraId="1D76CFC9"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who are accelerated in college complete two or more majors in a total of four years, and/or earn advanced degree(s) along with or in lieu of a bachelor's degree.</w:t>
      </w:r>
    </w:p>
    <w:p w14:paraId="720E0172" w14:textId="77777777" w:rsidR="00B87C86" w:rsidRPr="00B87C86" w:rsidRDefault="00B87C86" w:rsidP="00B87C86">
      <w:pPr>
        <w:shd w:val="clear" w:color="auto" w:fill="FFFFFF"/>
        <w:spacing w:after="0" w:line="240" w:lineRule="auto"/>
        <w:textAlignment w:val="baseline"/>
        <w:rPr>
          <w:rFonts w:ascii="Arial" w:eastAsia="Times New Roman" w:hAnsi="Arial" w:cs="Arial"/>
          <w:color w:val="000000"/>
          <w:sz w:val="20"/>
          <w:szCs w:val="20"/>
        </w:rPr>
      </w:pPr>
      <w:r w:rsidRPr="00B87C86">
        <w:rPr>
          <w:rFonts w:ascii="inherit" w:eastAsia="Times New Roman" w:hAnsi="inherit" w:cs="Arial"/>
          <w:b/>
          <w:bCs/>
          <w:color w:val="000000"/>
          <w:sz w:val="20"/>
          <w:szCs w:val="20"/>
          <w:bdr w:val="none" w:sz="0" w:space="0" w:color="auto" w:frame="1"/>
        </w:rPr>
        <w:t>Early graduation from high school or college</w:t>
      </w:r>
    </w:p>
    <w:p w14:paraId="1E5A71CB" w14:textId="77777777" w:rsidR="00B87C86" w:rsidRPr="00B87C86" w:rsidRDefault="00B87C86" w:rsidP="00B87C86">
      <w:pPr>
        <w:shd w:val="clear" w:color="auto" w:fill="FFFFFF"/>
        <w:spacing w:after="360" w:line="240" w:lineRule="auto"/>
        <w:textAlignment w:val="baseline"/>
        <w:rPr>
          <w:rFonts w:ascii="Arial" w:eastAsia="Times New Roman" w:hAnsi="Arial" w:cs="Arial"/>
          <w:color w:val="000000"/>
          <w:sz w:val="20"/>
          <w:szCs w:val="20"/>
        </w:rPr>
      </w:pPr>
      <w:r w:rsidRPr="00B87C86">
        <w:rPr>
          <w:rFonts w:ascii="Arial" w:eastAsia="Times New Roman" w:hAnsi="Arial" w:cs="Arial"/>
          <w:color w:val="000000"/>
          <w:sz w:val="20"/>
          <w:szCs w:val="20"/>
        </w:rPr>
        <w:t>Students graduate from high school or college in three-and-a-half years or less. Generally, this is accomplished by increasing the amount of coursework undertaken each year, but it may also be accomplished through dual/concurrent enrollment, distance learning, or extracurricular programs.</w:t>
      </w:r>
    </w:p>
    <w:p w14:paraId="6A413B4F" w14:textId="77777777" w:rsidR="00E00E24" w:rsidRDefault="00E00E24"/>
    <w:sectPr w:rsidR="00E00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A1BC2"/>
    <w:multiLevelType w:val="multilevel"/>
    <w:tmpl w:val="3774B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C86"/>
    <w:rsid w:val="00B87C86"/>
    <w:rsid w:val="00E00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411A9"/>
  <w15:chartTrackingRefBased/>
  <w15:docId w15:val="{9B4D13CC-EB7D-4C91-AEBA-58E0D13F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7C8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87C86"/>
    <w:rPr>
      <w:i/>
      <w:iCs/>
    </w:rPr>
  </w:style>
  <w:style w:type="character" w:styleId="Hyperlink">
    <w:name w:val="Hyperlink"/>
    <w:basedOn w:val="DefaultParagraphFont"/>
    <w:uiPriority w:val="99"/>
    <w:semiHidden/>
    <w:unhideWhenUsed/>
    <w:rsid w:val="00B87C86"/>
    <w:rPr>
      <w:color w:val="0000FF"/>
      <w:u w:val="single"/>
    </w:rPr>
  </w:style>
  <w:style w:type="character" w:styleId="Strong">
    <w:name w:val="Strong"/>
    <w:basedOn w:val="DefaultParagraphFont"/>
    <w:uiPriority w:val="22"/>
    <w:qFormat/>
    <w:rsid w:val="00B87C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3970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elerationinstitute.org/Resources/IAS.aspx" TargetMode="External"/><Relationship Id="rId13" Type="http://schemas.openxmlformats.org/officeDocument/2006/relationships/hyperlink" Target="http://www.hoagiesgifted.org/talent_search.htm" TargetMode="External"/><Relationship Id="rId18" Type="http://schemas.openxmlformats.org/officeDocument/2006/relationships/hyperlink" Target="http://www.hoagiesgifted.org/online_hs.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cty.jhu.edu/online/" TargetMode="External"/><Relationship Id="rId7" Type="http://schemas.openxmlformats.org/officeDocument/2006/relationships/hyperlink" Target="http://www.accelerationinstitute.org/nation_empowered/" TargetMode="External"/><Relationship Id="rId12" Type="http://schemas.openxmlformats.org/officeDocument/2006/relationships/hyperlink" Target="http://www.accelerationinstitute.org/nation_empowered/" TargetMode="External"/><Relationship Id="rId17" Type="http://schemas.openxmlformats.org/officeDocument/2006/relationships/hyperlink" Target="http://www.accelerationinstitute.org/nation_empowere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2.education.uiowa.edu/belinblank/students/ioapa/" TargetMode="External"/><Relationship Id="rId20" Type="http://schemas.openxmlformats.org/officeDocument/2006/relationships/hyperlink" Target="https://www.ctd.northwestern.edu/program_type/online-programs" TargetMode="External"/><Relationship Id="rId1" Type="http://schemas.openxmlformats.org/officeDocument/2006/relationships/numbering" Target="numbering.xml"/><Relationship Id="rId6" Type="http://schemas.openxmlformats.org/officeDocument/2006/relationships/hyperlink" Target="http://www.accelerationinstitute.org/Resources/kindergarten.aspx" TargetMode="External"/><Relationship Id="rId11" Type="http://schemas.openxmlformats.org/officeDocument/2006/relationships/hyperlink" Target="http://www.accelerationinstitute.org/nation_empowered/" TargetMode="External"/><Relationship Id="rId24" Type="http://schemas.openxmlformats.org/officeDocument/2006/relationships/hyperlink" Target="http://www.accelerationinstitute.org/nation_empowered/" TargetMode="External"/><Relationship Id="rId5" Type="http://schemas.openxmlformats.org/officeDocument/2006/relationships/hyperlink" Target="http://www.accelerationinstitute.org/nation_empowered/" TargetMode="External"/><Relationship Id="rId15" Type="http://schemas.openxmlformats.org/officeDocument/2006/relationships/hyperlink" Target="http://www2.education.uiowa.edu/belinblank/students/" TargetMode="External"/><Relationship Id="rId23" Type="http://schemas.openxmlformats.org/officeDocument/2006/relationships/hyperlink" Target="http://www.accelerationinstitute.org/Resources/early_college.aspx" TargetMode="External"/><Relationship Id="rId10" Type="http://schemas.openxmlformats.org/officeDocument/2006/relationships/hyperlink" Target="http://www.accelerationinstitute.org/Resources/Math.aspx" TargetMode="External"/><Relationship Id="rId19" Type="http://schemas.openxmlformats.org/officeDocument/2006/relationships/hyperlink" Target="http://www.hoagiesgifted.org/distance_learning.htm" TargetMode="External"/><Relationship Id="rId4" Type="http://schemas.openxmlformats.org/officeDocument/2006/relationships/webSettings" Target="webSettings.xml"/><Relationship Id="rId9" Type="http://schemas.openxmlformats.org/officeDocument/2006/relationships/hyperlink" Target="http://www.accelerationinstitute.org/nation_empowered/" TargetMode="External"/><Relationship Id="rId14" Type="http://schemas.openxmlformats.org/officeDocument/2006/relationships/hyperlink" Target="http://www.accelerationinstitute.org/nation_empowered/" TargetMode="External"/><Relationship Id="rId22" Type="http://schemas.openxmlformats.org/officeDocument/2006/relationships/hyperlink" Target="http://www.accelerationinstitute.org/nation_empower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1480</Words>
  <Characters>8438</Characters>
  <Application>Microsoft Office Word</Application>
  <DocSecurity>0</DocSecurity>
  <Lines>70</Lines>
  <Paragraphs>19</Paragraphs>
  <ScaleCrop>false</ScaleCrop>
  <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Eickhoff</dc:creator>
  <cp:keywords/>
  <dc:description/>
  <cp:lastModifiedBy>Linda Eickhoff</cp:lastModifiedBy>
  <cp:revision>1</cp:revision>
  <dcterms:created xsi:type="dcterms:W3CDTF">2020-02-12T22:57:00Z</dcterms:created>
  <dcterms:modified xsi:type="dcterms:W3CDTF">2020-02-12T22:58:00Z</dcterms:modified>
</cp:coreProperties>
</file>